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732155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52070</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64770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13 or 15(d)</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the Securities Exchange Act of 1934</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May 21,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64770</wp:posOffset>
            </wp:positionV>
            <wp:extent cx="71062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RAPID MICRO BIOSYSTEMS, INC.</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55880</wp:posOffset>
            </wp:positionV>
            <wp:extent cx="71062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27" w:lineRule="exact"/>
        <w:rPr>
          <w:sz w:val="24"/>
          <w:szCs w:val="24"/>
          <w:color w:val="auto"/>
        </w:rPr>
      </w:pPr>
    </w:p>
    <w:tbl>
      <w:tblPr>
        <w:tblLayout w:type="fixed"/>
        <w:tblInd w:w="700" w:type="dxa"/>
        <w:tblCellMar>
          <w:top w:w="0" w:type="dxa"/>
          <w:left w:w="0" w:type="dxa"/>
          <w:bottom w:w="0" w:type="dxa"/>
          <w:right w:w="0" w:type="dxa"/>
        </w:tblCellMar>
      </w:tblPr>
      <w:tr>
        <w:trPr>
          <w:trHeight w:val="212"/>
        </w:trPr>
        <w:tc>
          <w:tcPr>
            <w:tcW w:w="288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444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001-40592</w:t>
            </w:r>
          </w:p>
        </w:tc>
        <w:tc>
          <w:tcPr>
            <w:tcW w:w="18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20-8121647</w:t>
            </w:r>
          </w:p>
        </w:tc>
      </w:tr>
      <w:tr>
        <w:trPr>
          <w:trHeight w:val="220"/>
        </w:trPr>
        <w:tc>
          <w:tcPr>
            <w:tcW w:w="288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(State or other jurisdiction</w:t>
            </w:r>
          </w:p>
        </w:tc>
        <w:tc>
          <w:tcPr>
            <w:tcW w:w="444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(Commission</w:t>
            </w:r>
          </w:p>
        </w:tc>
        <w:tc>
          <w:tcPr>
            <w:tcW w:w="1820" w:type="dxa"/>
            <w:vAlign w:val="bottom"/>
          </w:tcPr>
          <w:p>
            <w:pPr>
              <w:jc w:val="center"/>
              <w:ind w:left="479"/>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288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of incorporation or organization)</w:t>
            </w:r>
          </w:p>
        </w:tc>
        <w:tc>
          <w:tcPr>
            <w:tcW w:w="444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w w:val="99"/>
              </w:rPr>
              <w:t>File Number)</w:t>
            </w:r>
          </w:p>
        </w:tc>
        <w:tc>
          <w:tcPr>
            <w:tcW w:w="1820" w:type="dxa"/>
            <w:vAlign w:val="bottom"/>
          </w:tcPr>
          <w:p>
            <w:pPr>
              <w:jc w:val="center"/>
              <w:ind w:left="479"/>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257"/>
        </w:trPr>
        <w:tc>
          <w:tcPr>
            <w:tcW w:w="288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25 Hartwell Avenue, Lexington, MA</w:t>
            </w:r>
          </w:p>
        </w:tc>
        <w:tc>
          <w:tcPr>
            <w:tcW w:w="4440" w:type="dxa"/>
            <w:vAlign w:val="bottom"/>
          </w:tcPr>
          <w:p>
            <w:pPr>
              <w:spacing w:after="0"/>
              <w:rPr>
                <w:sz w:val="22"/>
                <w:szCs w:val="22"/>
                <w:color w:val="auto"/>
              </w:rPr>
            </w:pPr>
          </w:p>
        </w:tc>
        <w:tc>
          <w:tcPr>
            <w:tcW w:w="18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02421</w:t>
            </w:r>
          </w:p>
        </w:tc>
      </w:tr>
      <w:tr>
        <w:trPr>
          <w:trHeight w:val="243"/>
        </w:trPr>
        <w:tc>
          <w:tcPr>
            <w:tcW w:w="288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4440" w:type="dxa"/>
            <w:vAlign w:val="bottom"/>
          </w:tcPr>
          <w:p>
            <w:pPr>
              <w:spacing w:after="0"/>
              <w:rPr>
                <w:sz w:val="21"/>
                <w:szCs w:val="21"/>
                <w:color w:val="auto"/>
              </w:rPr>
            </w:pPr>
          </w:p>
        </w:tc>
        <w:tc>
          <w:tcPr>
            <w:tcW w:w="1820" w:type="dxa"/>
            <w:vAlign w:val="bottom"/>
          </w:tcPr>
          <w:p>
            <w:pPr>
              <w:jc w:val="center"/>
              <w:ind w:left="479"/>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r>
        <w:trPr>
          <w:trHeight w:val="287"/>
        </w:trPr>
        <w:tc>
          <w:tcPr>
            <w:tcW w:w="2880" w:type="dxa"/>
            <w:vAlign w:val="bottom"/>
          </w:tcPr>
          <w:p>
            <w:pPr>
              <w:spacing w:after="0"/>
              <w:rPr>
                <w:sz w:val="24"/>
                <w:szCs w:val="24"/>
                <w:color w:val="auto"/>
              </w:rPr>
            </w:pPr>
          </w:p>
        </w:tc>
        <w:tc>
          <w:tcPr>
            <w:tcW w:w="4440" w:type="dxa"/>
            <w:vAlign w:val="bottom"/>
          </w:tcPr>
          <w:p>
            <w:pPr>
              <w:jc w:val="right"/>
              <w:ind w:right="1859"/>
              <w:spacing w:after="0"/>
              <w:rPr>
                <w:sz w:val="20"/>
                <w:szCs w:val="20"/>
                <w:color w:val="auto"/>
              </w:rPr>
            </w:pPr>
            <w:r>
              <w:rPr>
                <w:rFonts w:ascii="Times New Roman" w:cs="Times New Roman" w:eastAsia="Times New Roman" w:hAnsi="Times New Roman"/>
                <w:sz w:val="16"/>
                <w:szCs w:val="16"/>
                <w:b w:val="1"/>
                <w:bCs w:val="1"/>
                <w:color w:val="auto"/>
              </w:rPr>
              <w:t>978-349-3200</w:t>
            </w:r>
          </w:p>
        </w:tc>
        <w:tc>
          <w:tcPr>
            <w:tcW w:w="1820" w:type="dxa"/>
            <w:vAlign w:val="bottom"/>
          </w:tcPr>
          <w:p>
            <w:pPr>
              <w:spacing w:after="0"/>
              <w:rPr>
                <w:sz w:val="24"/>
                <w:szCs w:val="24"/>
                <w:color w:val="auto"/>
              </w:rPr>
            </w:pPr>
          </w:p>
        </w:tc>
      </w:tr>
      <w:tr>
        <w:trPr>
          <w:trHeight w:val="212"/>
        </w:trPr>
        <w:tc>
          <w:tcPr>
            <w:tcW w:w="2880" w:type="dxa"/>
            <w:vAlign w:val="bottom"/>
          </w:tcPr>
          <w:p>
            <w:pPr>
              <w:spacing w:after="0"/>
              <w:rPr>
                <w:sz w:val="18"/>
                <w:szCs w:val="18"/>
                <w:color w:val="auto"/>
              </w:rPr>
            </w:pPr>
          </w:p>
        </w:tc>
        <w:tc>
          <w:tcPr>
            <w:tcW w:w="4440" w:type="dxa"/>
            <w:vAlign w:val="bottom"/>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1820" w:type="dxa"/>
            <w:vAlign w:val="bottom"/>
          </w:tcPr>
          <w:p>
            <w:pPr>
              <w:spacing w:after="0"/>
              <w:rPr>
                <w:sz w:val="18"/>
                <w:szCs w:val="18"/>
                <w:color w:val="auto"/>
              </w:rPr>
            </w:pPr>
          </w:p>
        </w:tc>
      </w:tr>
    </w:tbl>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69850</wp:posOffset>
            </wp:positionV>
            <wp:extent cx="71062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73"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53" w:lineRule="exact"/>
        <w:rPr>
          <w:rFonts w:ascii="Wingdings" w:cs="Wingdings" w:eastAsia="Wingdings" w:hAnsi="Wingdings"/>
          <w:sz w:val="16"/>
          <w:szCs w:val="16"/>
          <w:b w:val="1"/>
          <w:bCs w:val="1"/>
          <w:color w:val="auto"/>
        </w:rPr>
      </w:pPr>
    </w:p>
    <w:p>
      <w:pPr>
        <w:ind w:left="360" w:hanging="334"/>
        <w:spacing w:after="0"/>
        <w:tabs>
          <w:tab w:leader="none" w:pos="36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53" w:lineRule="exact"/>
        <w:rPr>
          <w:rFonts w:ascii="Wingdings" w:cs="Wingdings" w:eastAsia="Wingdings" w:hAnsi="Wingdings"/>
          <w:sz w:val="16"/>
          <w:szCs w:val="16"/>
          <w:b w:val="1"/>
          <w:bCs w:val="1"/>
          <w:color w:val="auto"/>
        </w:rPr>
      </w:pPr>
    </w:p>
    <w:p>
      <w:pPr>
        <w:ind w:left="360" w:hanging="334"/>
        <w:spacing w:after="0"/>
        <w:tabs>
          <w:tab w:leader="none" w:pos="36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53" w:lineRule="exact"/>
        <w:rPr>
          <w:rFonts w:ascii="Wingdings" w:cs="Wingdings" w:eastAsia="Wingdings" w:hAnsi="Wingdings"/>
          <w:sz w:val="16"/>
          <w:szCs w:val="16"/>
          <w:b w:val="1"/>
          <w:bCs w:val="1"/>
          <w:color w:val="auto"/>
        </w:rPr>
      </w:pPr>
    </w:p>
    <w:p>
      <w:pPr>
        <w:ind w:left="360" w:hanging="334"/>
        <w:spacing w:after="0"/>
        <w:tabs>
          <w:tab w:leader="none" w:pos="36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40" w:type="dxa"/>
            <w:vAlign w:val="bottom"/>
          </w:tcPr>
          <w:p>
            <w:pPr>
              <w:spacing w:after="0"/>
              <w:rPr>
                <w:sz w:val="18"/>
                <w:szCs w:val="18"/>
                <w:color w:val="auto"/>
              </w:rPr>
            </w:pPr>
          </w:p>
        </w:tc>
      </w:tr>
      <w:tr>
        <w:trPr>
          <w:trHeight w:val="220"/>
        </w:trPr>
        <w:tc>
          <w:tcPr>
            <w:tcW w:w="4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4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w:t>
            </w:r>
          </w:p>
        </w:tc>
      </w:tr>
      <w:tr>
        <w:trPr>
          <w:trHeight w:val="239"/>
        </w:trPr>
        <w:tc>
          <w:tcPr>
            <w:tcW w:w="4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00" w:type="dxa"/>
            <w:vAlign w:val="bottom"/>
          </w:tcPr>
          <w:p>
            <w:pPr>
              <w:spacing w:after="0"/>
              <w:rPr>
                <w:sz w:val="20"/>
                <w:szCs w:val="20"/>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Symbols</w:t>
            </w:r>
          </w:p>
        </w:tc>
        <w:tc>
          <w:tcPr>
            <w:tcW w:w="100" w:type="dxa"/>
            <w:vAlign w:val="bottom"/>
          </w:tcPr>
          <w:p>
            <w:pPr>
              <w:spacing w:after="0"/>
              <w:rPr>
                <w:sz w:val="20"/>
                <w:szCs w:val="20"/>
                <w:color w:val="auto"/>
              </w:rPr>
            </w:pP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registered</w:t>
            </w:r>
          </w:p>
        </w:tc>
      </w:tr>
      <w:tr>
        <w:trPr>
          <w:trHeight w:val="223"/>
        </w:trPr>
        <w:tc>
          <w:tcPr>
            <w:tcW w:w="4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Class A Common Stock, $0.01 par value per share</w:t>
            </w:r>
          </w:p>
        </w:tc>
        <w:tc>
          <w:tcPr>
            <w:tcW w:w="2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RPID</w:t>
            </w:r>
          </w:p>
        </w:tc>
        <w:tc>
          <w:tcPr>
            <w:tcW w:w="4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Capital Market</w:t>
            </w:r>
          </w:p>
        </w:tc>
      </w:tr>
    </w:tbl>
    <w:p>
      <w:pPr>
        <w:spacing w:after="0" w:line="100" w:lineRule="exact"/>
        <w:rPr>
          <w:sz w:val="24"/>
          <w:szCs w:val="24"/>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9" w:lineRule="exact"/>
        <w:rPr>
          <w:sz w:val="24"/>
          <w:szCs w:val="24"/>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201295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310"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held its annual meeting of stockholders on May 21, 2026 (the “Annual Meeting”), at which a quorum was present. There were two items of business acted upon by the stockholders. There were 41,267,511 shares of the Company’s Class A common stock eligible to vote, and 37,099,555 shares were present in person or by proxy at the Annual Meeting. The following is a summary of the matters voted on at the Annual Meeting:</w:t>
      </w:r>
    </w:p>
    <w:p>
      <w:pPr>
        <w:spacing w:after="0" w:line="203" w:lineRule="exact"/>
        <w:rPr>
          <w:sz w:val="24"/>
          <w:szCs w:val="24"/>
          <w:color w:val="auto"/>
        </w:rPr>
      </w:pPr>
    </w:p>
    <w:p>
      <w:pPr>
        <w:ind w:left="660" w:right="20" w:hanging="328"/>
        <w:spacing w:after="0" w:line="282" w:lineRule="auto"/>
        <w:tabs>
          <w:tab w:leader="none" w:pos="64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stockholders elected Richard Kollender as a Class II Director to serve until the 2029 Annual Meeting of Stockholders and until his successor has been duly elected and qualified or until such director’s earlier death, resignation or removal.</w:t>
      </w:r>
    </w:p>
    <w:p>
      <w:pPr>
        <w:spacing w:after="0" w:line="18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the stockholders’ vote with respect to the election of such Class II Director were as follows:</w:t>
      </w:r>
    </w:p>
    <w:p>
      <w:pPr>
        <w:spacing w:after="0" w:line="304" w:lineRule="exact"/>
        <w:rPr>
          <w:sz w:val="24"/>
          <w:szCs w:val="24"/>
          <w:color w:val="auto"/>
        </w:rPr>
      </w:pPr>
    </w:p>
    <w:tbl>
      <w:tblPr>
        <w:tblLayout w:type="fixed"/>
        <w:tblInd w:w="350" w:type="dxa"/>
        <w:tblCellMar>
          <w:top w:w="0" w:type="dxa"/>
          <w:left w:w="0" w:type="dxa"/>
          <w:bottom w:w="0" w:type="dxa"/>
          <w:right w:w="0" w:type="dxa"/>
        </w:tblCellMar>
      </w:tblPr>
      <w:tr>
        <w:trPr>
          <w:trHeight w:val="207"/>
        </w:trPr>
        <w:tc>
          <w:tcPr>
            <w:tcW w:w="6080" w:type="dxa"/>
            <w:vAlign w:val="bottom"/>
            <w:tcBorders>
              <w:top w:val="single" w:sz="8" w:color="auto"/>
              <w:left w:val="single" w:sz="8" w:color="auto"/>
              <w:right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40" w:type="dxa"/>
            <w:vAlign w:val="bottom"/>
            <w:tcBorders>
              <w:top w:val="single" w:sz="8" w:color="auto"/>
              <w:right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180" w:type="dxa"/>
            <w:vAlign w:val="bottom"/>
            <w:tcBorders>
              <w:top w:val="single" w:sz="8" w:color="auto"/>
              <w:right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right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Broker</w:t>
            </w:r>
          </w:p>
        </w:tc>
      </w:tr>
      <w:tr>
        <w:trPr>
          <w:trHeight w:val="198"/>
        </w:trPr>
        <w:tc>
          <w:tcPr>
            <w:tcW w:w="6080" w:type="dxa"/>
            <w:vAlign w:val="bottom"/>
            <w:tcBorders>
              <w:left w:val="single" w:sz="8" w:color="auto"/>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Borders>
              <w:right w:val="single" w:sz="8" w:color="auto"/>
            </w:tcBorders>
            <w:gridSpan w:val="2"/>
          </w:tcPr>
          <w:p>
            <w:pPr>
              <w:jc w:val="center"/>
              <w:ind w:right="440"/>
              <w:spacing w:after="0" w:line="198" w:lineRule="exact"/>
              <w:rPr>
                <w:sz w:val="20"/>
                <w:szCs w:val="20"/>
                <w:color w:val="auto"/>
              </w:rPr>
            </w:pPr>
            <w:r>
              <w:rPr>
                <w:rFonts w:ascii="Times New Roman" w:cs="Times New Roman" w:eastAsia="Times New Roman" w:hAnsi="Times New Roman"/>
                <w:sz w:val="18"/>
                <w:szCs w:val="18"/>
                <w:b w:val="1"/>
                <w:bCs w:val="1"/>
                <w:color w:val="auto"/>
                <w:w w:val="97"/>
              </w:rPr>
              <w:t>Votes For</w:t>
            </w:r>
          </w:p>
        </w:tc>
        <w:tc>
          <w:tcPr>
            <w:tcW w:w="1600" w:type="dxa"/>
            <w:vAlign w:val="bottom"/>
            <w:tcBorders>
              <w:right w:val="single" w:sz="8" w:color="auto"/>
            </w:tcBorders>
            <w:gridSpan w:val="3"/>
          </w:tcPr>
          <w:p>
            <w:pPr>
              <w:jc w:val="center"/>
              <w:ind w:right="40"/>
              <w:spacing w:after="0" w:line="198" w:lineRule="exact"/>
              <w:rPr>
                <w:sz w:val="20"/>
                <w:szCs w:val="20"/>
                <w:color w:val="auto"/>
              </w:rPr>
            </w:pPr>
            <w:r>
              <w:rPr>
                <w:rFonts w:ascii="Times New Roman" w:cs="Times New Roman" w:eastAsia="Times New Roman" w:hAnsi="Times New Roman"/>
                <w:sz w:val="18"/>
                <w:szCs w:val="18"/>
                <w:b w:val="1"/>
                <w:bCs w:val="1"/>
                <w:color w:val="auto"/>
                <w:w w:val="99"/>
              </w:rPr>
              <w:t>Withheld</w:t>
            </w:r>
          </w:p>
        </w:tc>
        <w:tc>
          <w:tcPr>
            <w:tcW w:w="1580" w:type="dxa"/>
            <w:vAlign w:val="bottom"/>
            <w:tcBorders>
              <w:right w:val="single" w:sz="8" w:color="auto"/>
            </w:tcBorders>
            <w:gridSpan w:val="3"/>
          </w:tcPr>
          <w:p>
            <w:pPr>
              <w:jc w:val="center"/>
              <w:ind w:right="20"/>
              <w:spacing w:after="0" w:line="198" w:lineRule="exact"/>
              <w:rPr>
                <w:sz w:val="20"/>
                <w:szCs w:val="20"/>
                <w:color w:val="auto"/>
              </w:rPr>
            </w:pPr>
            <w:r>
              <w:rPr>
                <w:rFonts w:ascii="Times New Roman" w:cs="Times New Roman" w:eastAsia="Times New Roman" w:hAnsi="Times New Roman"/>
                <w:sz w:val="18"/>
                <w:szCs w:val="18"/>
                <w:b w:val="1"/>
                <w:bCs w:val="1"/>
                <w:color w:val="auto"/>
                <w:w w:val="98"/>
              </w:rPr>
              <w:t>Non-Votes</w:t>
            </w:r>
          </w:p>
        </w:tc>
      </w:tr>
      <w:tr>
        <w:trPr>
          <w:trHeight w:val="48"/>
        </w:trPr>
        <w:tc>
          <w:tcPr>
            <w:tcW w:w="6080" w:type="dxa"/>
            <w:vAlign w:val="bottom"/>
            <w:tcBorders>
              <w:left w:val="single" w:sz="8" w:color="auto"/>
              <w:bottom w:val="single" w:sz="8" w:color="auto"/>
              <w:right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40" w:type="dxa"/>
            <w:vAlign w:val="bottom"/>
            <w:tcBorders>
              <w:top w:val="single" w:sz="8" w:color="auto"/>
              <w:bottom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20" w:type="dxa"/>
            <w:vAlign w:val="bottom"/>
            <w:tcBorders>
              <w:top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0" w:type="dxa"/>
            <w:vAlign w:val="bottom"/>
            <w:tcBorders>
              <w:top w:val="single" w:sz="8" w:color="auto"/>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r>
      <w:tr>
        <w:trPr>
          <w:trHeight w:val="230"/>
        </w:trPr>
        <w:tc>
          <w:tcPr>
            <w:tcW w:w="6080" w:type="dxa"/>
            <w:vAlign w:val="bottom"/>
            <w:tcBorders>
              <w:left w:val="single" w:sz="8" w:color="auto"/>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Richard Kollender</w:t>
            </w:r>
          </w:p>
        </w:tc>
        <w:tc>
          <w:tcPr>
            <w:tcW w:w="1600" w:type="dxa"/>
            <w:vAlign w:val="bottom"/>
            <w:tcBorders>
              <w:bottom w:val="single" w:sz="8" w:color="CCEEFF"/>
              <w:right w:val="single" w:sz="8" w:color="auto"/>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23,180,585</w:t>
            </w:r>
          </w:p>
        </w:tc>
        <w:tc>
          <w:tcPr>
            <w:tcW w:w="1600" w:type="dxa"/>
            <w:vAlign w:val="bottom"/>
            <w:tcBorders>
              <w:bottom w:val="single" w:sz="8" w:color="CCEEFF"/>
              <w:right w:val="single" w:sz="8" w:color="auto"/>
            </w:tcBorders>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1,998,525</w:t>
            </w:r>
          </w:p>
        </w:tc>
        <w:tc>
          <w:tcPr>
            <w:tcW w:w="1580" w:type="dxa"/>
            <w:vAlign w:val="bottom"/>
            <w:tcBorders>
              <w:bottom w:val="single" w:sz="8" w:color="CCEEFF"/>
              <w:right w:val="single" w:sz="8" w:color="auto"/>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8"/>
              </w:rPr>
              <w:t>11,920,445</w:t>
            </w:r>
          </w:p>
        </w:tc>
      </w:tr>
      <w:tr>
        <w:trPr>
          <w:trHeight w:val="20"/>
        </w:trPr>
        <w:tc>
          <w:tcPr>
            <w:tcW w:w="60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r>
    </w:tbl>
    <w:p>
      <w:pPr>
        <w:spacing w:after="0" w:line="200" w:lineRule="exact"/>
        <w:rPr>
          <w:sz w:val="24"/>
          <w:szCs w:val="24"/>
          <w:color w:val="auto"/>
        </w:rPr>
      </w:pPr>
    </w:p>
    <w:p>
      <w:pPr>
        <w:sectPr>
          <w:pgSz w:w="11900" w:h="16838" w:orient="portrait"/>
          <w:cols w:equalWidth="0" w:num="1">
            <w:col w:w="11240"/>
          </w:cols>
          <w:pgMar w:left="320" w:top="1242" w:right="339" w:bottom="433" w:gutter="0" w:footer="0" w:header="0"/>
        </w:sectPr>
      </w:pPr>
    </w:p>
    <w:p>
      <w:pPr>
        <w:spacing w:after="0" w:line="214" w:lineRule="exact"/>
        <w:rPr>
          <w:sz w:val="24"/>
          <w:szCs w:val="24"/>
          <w:color w:val="auto"/>
        </w:rPr>
      </w:pPr>
    </w:p>
    <w:p>
      <w:pPr>
        <w:ind w:left="660" w:right="520" w:hanging="328"/>
        <w:spacing w:after="0" w:line="242" w:lineRule="auto"/>
        <w:tabs>
          <w:tab w:leader="none" w:pos="64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stockholders ratified the appointment of PricewaterhouseCoopers LLP as the Company’s independent registered public accounting firm for the fiscal year ending December 31, 2026. The results of the stockholders’ vote with respect to such ratification were as follows:</w:t>
      </w:r>
    </w:p>
    <w:p>
      <w:pPr>
        <w:sectPr>
          <w:pgSz w:w="11900" w:h="16838" w:orient="portrait"/>
          <w:cols w:equalWidth="0" w:num="1">
            <w:col w:w="11240"/>
          </w:cols>
          <w:pgMar w:left="320" w:top="1242" w:right="339" w:bottom="433" w:gutter="0" w:footer="0" w:header="0"/>
          <w:type w:val="continuous"/>
        </w:sectPr>
      </w:pPr>
    </w:p>
    <w:bookmarkStart w:id="1" w:name="page2"/>
    <w:bookmarkEnd w:id="1"/>
    <w:tbl>
      <w:tblPr>
        <w:tblLayout w:type="fixed"/>
        <w:tblInd w:w="350" w:type="dxa"/>
        <w:tblCellMar>
          <w:top w:w="0" w:type="dxa"/>
          <w:left w:w="0" w:type="dxa"/>
          <w:bottom w:w="0" w:type="dxa"/>
          <w:right w:w="0" w:type="dxa"/>
        </w:tblCellMar>
      </w:tblPr>
      <w:tr>
        <w:trPr>
          <w:trHeight w:val="203"/>
        </w:trPr>
        <w:tc>
          <w:tcPr>
            <w:tcW w:w="920" w:type="dxa"/>
            <w:vAlign w:val="bottom"/>
            <w:tcBorders>
              <w:top w:val="single" w:sz="8" w:color="auto"/>
              <w:left w:val="single" w:sz="8" w:color="auto"/>
            </w:tcBorders>
          </w:tcPr>
          <w:p>
            <w:pPr>
              <w:spacing w:after="0"/>
              <w:rPr>
                <w:sz w:val="17"/>
                <w:szCs w:val="17"/>
                <w:color w:val="auto"/>
              </w:rPr>
            </w:pPr>
          </w:p>
        </w:tc>
        <w:tc>
          <w:tcPr>
            <w:tcW w:w="1660" w:type="dxa"/>
            <w:vAlign w:val="bottom"/>
            <w:tcBorders>
              <w:top w:val="single" w:sz="8" w:color="auto"/>
              <w:right w:val="single" w:sz="8" w:color="auto"/>
            </w:tcBorders>
            <w:gridSpan w:val="2"/>
          </w:tcPr>
          <w:p>
            <w:pPr>
              <w:jc w:val="center"/>
              <w:ind w:right="920"/>
              <w:spacing w:after="0" w:line="202" w:lineRule="exact"/>
              <w:rPr>
                <w:sz w:val="20"/>
                <w:szCs w:val="20"/>
                <w:color w:val="auto"/>
              </w:rPr>
            </w:pPr>
            <w:r>
              <w:rPr>
                <w:rFonts w:ascii="Times New Roman" w:cs="Times New Roman" w:eastAsia="Times New Roman" w:hAnsi="Times New Roman"/>
                <w:sz w:val="18"/>
                <w:szCs w:val="18"/>
                <w:b w:val="1"/>
                <w:bCs w:val="1"/>
                <w:color w:val="auto"/>
                <w:w w:val="97"/>
              </w:rPr>
              <w:t>Votes For</w:t>
            </w:r>
          </w:p>
        </w:tc>
        <w:tc>
          <w:tcPr>
            <w:tcW w:w="1020" w:type="dxa"/>
            <w:vAlign w:val="bottom"/>
            <w:tcBorders>
              <w:top w:val="single" w:sz="8" w:color="auto"/>
            </w:tcBorders>
          </w:tcPr>
          <w:p>
            <w:pPr>
              <w:spacing w:after="0"/>
              <w:rPr>
                <w:sz w:val="17"/>
                <w:szCs w:val="17"/>
                <w:color w:val="auto"/>
              </w:rPr>
            </w:pPr>
          </w:p>
        </w:tc>
        <w:tc>
          <w:tcPr>
            <w:tcW w:w="1620" w:type="dxa"/>
            <w:vAlign w:val="bottom"/>
            <w:tcBorders>
              <w:top w:val="single" w:sz="8" w:color="auto"/>
              <w:right w:val="single" w:sz="8" w:color="auto"/>
            </w:tcBorders>
            <w:gridSpan w:val="2"/>
          </w:tcPr>
          <w:p>
            <w:pPr>
              <w:jc w:val="center"/>
              <w:ind w:right="1040"/>
              <w:spacing w:after="0" w:line="202" w:lineRule="exact"/>
              <w:rPr>
                <w:sz w:val="20"/>
                <w:szCs w:val="20"/>
                <w:color w:val="auto"/>
              </w:rPr>
            </w:pPr>
            <w:r>
              <w:rPr>
                <w:rFonts w:ascii="Times New Roman" w:cs="Times New Roman" w:eastAsia="Times New Roman" w:hAnsi="Times New Roman"/>
                <w:sz w:val="18"/>
                <w:szCs w:val="18"/>
                <w:b w:val="1"/>
                <w:bCs w:val="1"/>
                <w:color w:val="auto"/>
                <w:w w:val="97"/>
              </w:rPr>
              <w:t>Votes</w:t>
            </w:r>
          </w:p>
        </w:tc>
        <w:tc>
          <w:tcPr>
            <w:tcW w:w="900" w:type="dxa"/>
            <w:vAlign w:val="bottom"/>
            <w:tcBorders>
              <w:top w:val="single" w:sz="8" w:color="auto"/>
            </w:tcBorders>
          </w:tcPr>
          <w:p>
            <w:pPr>
              <w:spacing w:after="0"/>
              <w:rPr>
                <w:sz w:val="17"/>
                <w:szCs w:val="17"/>
                <w:color w:val="auto"/>
              </w:rPr>
            </w:pPr>
          </w:p>
        </w:tc>
        <w:tc>
          <w:tcPr>
            <w:tcW w:w="1740" w:type="dxa"/>
            <w:vAlign w:val="bottom"/>
            <w:tcBorders>
              <w:top w:val="single" w:sz="8" w:color="auto"/>
              <w:right w:val="single" w:sz="8" w:color="auto"/>
            </w:tcBorders>
            <w:gridSpan w:val="2"/>
          </w:tcPr>
          <w:p>
            <w:pPr>
              <w:jc w:val="center"/>
              <w:ind w:right="920"/>
              <w:spacing w:after="0" w:line="202" w:lineRule="exact"/>
              <w:rPr>
                <w:sz w:val="20"/>
                <w:szCs w:val="20"/>
                <w:color w:val="auto"/>
              </w:rPr>
            </w:pPr>
            <w:r>
              <w:rPr>
                <w:rFonts w:ascii="Times New Roman" w:cs="Times New Roman" w:eastAsia="Times New Roman" w:hAnsi="Times New Roman"/>
                <w:sz w:val="18"/>
                <w:szCs w:val="18"/>
                <w:b w:val="1"/>
                <w:bCs w:val="1"/>
                <w:color w:val="auto"/>
                <w:w w:val="97"/>
              </w:rPr>
              <w:t>Votes</w:t>
            </w:r>
          </w:p>
        </w:tc>
        <w:tc>
          <w:tcPr>
            <w:tcW w:w="920" w:type="dxa"/>
            <w:vAlign w:val="bottom"/>
            <w:tcBorders>
              <w:top w:val="single" w:sz="8" w:color="auto"/>
            </w:tcBorders>
          </w:tcPr>
          <w:p>
            <w:pPr>
              <w:spacing w:after="0"/>
              <w:rPr>
                <w:sz w:val="17"/>
                <w:szCs w:val="17"/>
                <w:color w:val="auto"/>
              </w:rPr>
            </w:pPr>
          </w:p>
        </w:tc>
        <w:tc>
          <w:tcPr>
            <w:tcW w:w="1740" w:type="dxa"/>
            <w:vAlign w:val="bottom"/>
            <w:tcBorders>
              <w:top w:val="single" w:sz="8" w:color="auto"/>
              <w:right w:val="single" w:sz="8" w:color="auto"/>
            </w:tcBorders>
            <w:gridSpan w:val="2"/>
          </w:tcPr>
          <w:p>
            <w:pPr>
              <w:jc w:val="center"/>
              <w:ind w:right="940"/>
              <w:spacing w:after="0" w:line="202" w:lineRule="exact"/>
              <w:rPr>
                <w:sz w:val="20"/>
                <w:szCs w:val="20"/>
                <w:color w:val="auto"/>
              </w:rPr>
            </w:pPr>
            <w:r>
              <w:rPr>
                <w:rFonts w:ascii="Times New Roman" w:cs="Times New Roman" w:eastAsia="Times New Roman" w:hAnsi="Times New Roman"/>
                <w:sz w:val="18"/>
                <w:szCs w:val="18"/>
                <w:b w:val="1"/>
                <w:bCs w:val="1"/>
                <w:color w:val="auto"/>
              </w:rPr>
              <w:t>Broker</w:t>
            </w:r>
          </w:p>
        </w:tc>
      </w:tr>
      <w:tr>
        <w:trPr>
          <w:trHeight w:val="183"/>
        </w:trPr>
        <w:tc>
          <w:tcPr>
            <w:tcW w:w="920" w:type="dxa"/>
            <w:vAlign w:val="bottom"/>
            <w:tcBorders>
              <w:left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2640" w:type="dxa"/>
            <w:vAlign w:val="bottom"/>
            <w:tcBorders>
              <w:right w:val="single" w:sz="8" w:color="auto"/>
            </w:tcBorders>
            <w:gridSpan w:val="3"/>
          </w:tcPr>
          <w:p>
            <w:pPr>
              <w:jc w:val="center"/>
              <w:ind w:right="20"/>
              <w:spacing w:after="0" w:line="182" w:lineRule="exact"/>
              <w:rPr>
                <w:sz w:val="20"/>
                <w:szCs w:val="20"/>
                <w:color w:val="auto"/>
              </w:rPr>
            </w:pPr>
            <w:r>
              <w:rPr>
                <w:rFonts w:ascii="Times New Roman" w:cs="Times New Roman" w:eastAsia="Times New Roman" w:hAnsi="Times New Roman"/>
                <w:sz w:val="18"/>
                <w:szCs w:val="18"/>
                <w:b w:val="1"/>
                <w:bCs w:val="1"/>
                <w:color w:val="auto"/>
                <w:w w:val="98"/>
              </w:rPr>
              <w:t>Against</w:t>
            </w:r>
          </w:p>
        </w:tc>
        <w:tc>
          <w:tcPr>
            <w:tcW w:w="900" w:type="dxa"/>
            <w:vAlign w:val="bottom"/>
          </w:tcPr>
          <w:p>
            <w:pPr>
              <w:spacing w:after="0"/>
              <w:rPr>
                <w:sz w:val="15"/>
                <w:szCs w:val="15"/>
                <w:color w:val="auto"/>
              </w:rPr>
            </w:pPr>
          </w:p>
        </w:tc>
        <w:tc>
          <w:tcPr>
            <w:tcW w:w="1740" w:type="dxa"/>
            <w:vAlign w:val="bottom"/>
            <w:tcBorders>
              <w:right w:val="single" w:sz="8" w:color="auto"/>
            </w:tcBorders>
            <w:gridSpan w:val="2"/>
          </w:tcPr>
          <w:p>
            <w:pPr>
              <w:jc w:val="center"/>
              <w:ind w:right="900"/>
              <w:spacing w:after="0" w:line="182" w:lineRule="exact"/>
              <w:rPr>
                <w:sz w:val="20"/>
                <w:szCs w:val="20"/>
                <w:color w:val="auto"/>
              </w:rPr>
            </w:pPr>
            <w:r>
              <w:rPr>
                <w:rFonts w:ascii="Times New Roman" w:cs="Times New Roman" w:eastAsia="Times New Roman" w:hAnsi="Times New Roman"/>
                <w:sz w:val="18"/>
                <w:szCs w:val="18"/>
                <w:b w:val="1"/>
                <w:bCs w:val="1"/>
                <w:color w:val="auto"/>
                <w:w w:val="99"/>
              </w:rPr>
              <w:t>Abstaining</w:t>
            </w:r>
          </w:p>
        </w:tc>
        <w:tc>
          <w:tcPr>
            <w:tcW w:w="920" w:type="dxa"/>
            <w:vAlign w:val="bottom"/>
          </w:tcPr>
          <w:p>
            <w:pPr>
              <w:spacing w:after="0"/>
              <w:rPr>
                <w:sz w:val="15"/>
                <w:szCs w:val="15"/>
                <w:color w:val="auto"/>
              </w:rPr>
            </w:pPr>
          </w:p>
        </w:tc>
        <w:tc>
          <w:tcPr>
            <w:tcW w:w="1740" w:type="dxa"/>
            <w:vAlign w:val="bottom"/>
            <w:tcBorders>
              <w:right w:val="single" w:sz="8" w:color="auto"/>
            </w:tcBorders>
            <w:gridSpan w:val="2"/>
          </w:tcPr>
          <w:p>
            <w:pPr>
              <w:jc w:val="center"/>
              <w:ind w:right="940"/>
              <w:spacing w:after="0" w:line="182" w:lineRule="exact"/>
              <w:rPr>
                <w:sz w:val="20"/>
                <w:szCs w:val="20"/>
                <w:color w:val="auto"/>
              </w:rPr>
            </w:pPr>
            <w:r>
              <w:rPr>
                <w:rFonts w:ascii="Times New Roman" w:cs="Times New Roman" w:eastAsia="Times New Roman" w:hAnsi="Times New Roman"/>
                <w:sz w:val="18"/>
                <w:szCs w:val="18"/>
                <w:b w:val="1"/>
                <w:bCs w:val="1"/>
                <w:color w:val="auto"/>
                <w:w w:val="98"/>
              </w:rPr>
              <w:t>Non-Votes</w:t>
            </w:r>
          </w:p>
        </w:tc>
      </w:tr>
      <w:tr>
        <w:trPr>
          <w:trHeight w:val="48"/>
        </w:trPr>
        <w:tc>
          <w:tcPr>
            <w:tcW w:w="920" w:type="dxa"/>
            <w:vAlign w:val="bottom"/>
            <w:tcBorders>
              <w:left w:val="single" w:sz="8" w:color="auto"/>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580" w:type="dxa"/>
            <w:vAlign w:val="bottom"/>
            <w:tcBorders>
              <w:top w:val="single" w:sz="8" w:color="auto"/>
              <w:bottom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40" w:type="dxa"/>
            <w:vAlign w:val="bottom"/>
            <w:tcBorders>
              <w:top w:val="single" w:sz="8" w:color="auto"/>
              <w:bottom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0" w:type="dxa"/>
            <w:vAlign w:val="bottom"/>
            <w:tcBorders>
              <w:top w:val="single" w:sz="8" w:color="auto"/>
              <w:bottom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r>
      <w:tr>
        <w:trPr>
          <w:trHeight w:val="230"/>
        </w:trPr>
        <w:tc>
          <w:tcPr>
            <w:tcW w:w="2580" w:type="dxa"/>
            <w:vAlign w:val="bottom"/>
            <w:tcBorders>
              <w:left w:val="single" w:sz="8" w:color="auto"/>
              <w:bottom w:val="single" w:sz="8" w:color="CCEEFF"/>
              <w:right w:val="single" w:sz="8" w:color="auto"/>
            </w:tcBorders>
            <w:gridSpan w:val="3"/>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37,096,030</w:t>
            </w:r>
          </w:p>
        </w:tc>
        <w:tc>
          <w:tcPr>
            <w:tcW w:w="1600" w:type="dxa"/>
            <w:vAlign w:val="bottom"/>
            <w:tcBorders>
              <w:bottom w:val="single" w:sz="8" w:color="CCEEFF"/>
            </w:tcBorders>
            <w:gridSpan w:val="2"/>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w w:val="98"/>
              </w:rPr>
              <w:t>3,292</w:t>
            </w:r>
          </w:p>
        </w:tc>
        <w:tc>
          <w:tcPr>
            <w:tcW w:w="1040" w:type="dxa"/>
            <w:vAlign w:val="bottom"/>
            <w:tcBorders>
              <w:bottom w:val="single" w:sz="8" w:color="CCEEFF"/>
              <w:right w:val="single" w:sz="8" w:color="auto"/>
            </w:tcBorders>
            <w:shd w:val="clear" w:color="auto" w:fill="CCEEFF"/>
          </w:tcPr>
          <w:p>
            <w:pPr>
              <w:spacing w:after="0"/>
              <w:rPr>
                <w:sz w:val="20"/>
                <w:szCs w:val="20"/>
                <w:color w:val="auto"/>
              </w:rPr>
            </w:pPr>
          </w:p>
        </w:tc>
        <w:tc>
          <w:tcPr>
            <w:tcW w:w="1740" w:type="dxa"/>
            <w:vAlign w:val="bottom"/>
            <w:tcBorders>
              <w:bottom w:val="single" w:sz="8" w:color="CCEEFF"/>
            </w:tcBorders>
            <w:gridSpan w:val="2"/>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6"/>
              </w:rPr>
              <w:t>233</w:t>
            </w:r>
          </w:p>
        </w:tc>
        <w:tc>
          <w:tcPr>
            <w:tcW w:w="900" w:type="dxa"/>
            <w:vAlign w:val="bottom"/>
            <w:tcBorders>
              <w:bottom w:val="single" w:sz="8" w:color="CCEEFF"/>
              <w:right w:val="single" w:sz="8" w:color="auto"/>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w w:val="88"/>
              </w:rPr>
              <w:t>0</w:t>
            </w:r>
          </w:p>
        </w:tc>
        <w:tc>
          <w:tcPr>
            <w:tcW w:w="940" w:type="dxa"/>
            <w:vAlign w:val="bottom"/>
            <w:tcBorders>
              <w:bottom w:val="single" w:sz="8" w:color="CCEEFF"/>
              <w:right w:val="single" w:sz="8" w:color="auto"/>
            </w:tcBorders>
            <w:shd w:val="clear" w:color="auto" w:fill="CCEEFF"/>
          </w:tcPr>
          <w:p>
            <w:pPr>
              <w:spacing w:after="0"/>
              <w:rPr>
                <w:sz w:val="20"/>
                <w:szCs w:val="20"/>
                <w:color w:val="auto"/>
              </w:rPr>
            </w:pPr>
          </w:p>
        </w:tc>
      </w:tr>
      <w:tr>
        <w:trPr>
          <w:trHeight w:val="20"/>
        </w:trPr>
        <w:tc>
          <w:tcPr>
            <w:tcW w:w="920" w:type="dxa"/>
            <w:vAlign w:val="bottom"/>
            <w:tcBorders>
              <w:left w:val="single" w:sz="8" w:color="auto"/>
            </w:tcBorders>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matters were submitted to or voted on by the Company’s stockholders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47" w:right="7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RAPID MICRO BIOSYSTEMS, INC.</w:t>
      </w:r>
    </w:p>
    <w:p>
      <w:pPr>
        <w:spacing w:after="0" w:line="320" w:lineRule="exact"/>
        <w:rPr>
          <w:sz w:val="20"/>
          <w:szCs w:val="20"/>
          <w:color w:val="auto"/>
        </w:rPr>
      </w:pPr>
    </w:p>
    <w:p>
      <w:pPr>
        <w:ind w:left="20"/>
        <w:spacing w:after="0"/>
        <w:tabs>
          <w:tab w:leader="none" w:pos="4540" w:val="left"/>
          <w:tab w:leader="none" w:pos="5000" w:val="left"/>
        </w:tabs>
        <w:rPr>
          <w:sz w:val="20"/>
          <w:szCs w:val="20"/>
          <w:color w:val="auto"/>
        </w:rPr>
      </w:pPr>
      <w:r>
        <w:rPr>
          <w:rFonts w:ascii="Times New Roman" w:cs="Times New Roman" w:eastAsia="Times New Roman" w:hAnsi="Times New Roman"/>
          <w:sz w:val="18"/>
          <w:szCs w:val="18"/>
          <w:color w:val="auto"/>
        </w:rPr>
        <w:t>Date: May 28,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Sean Wirtjes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26035</wp:posOffset>
            </wp:positionV>
            <wp:extent cx="39604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4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Sean Wirtjes</w:t>
      </w:r>
    </w:p>
    <w:p>
      <w:pPr>
        <w:spacing w:after="0" w:line="5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2026-05-28T17:17:08Z</dcterms:created>
  <dcterms:modified xsi:type="dcterms:W3CDTF">2026-05-28T17:17:08Z</dcterms:modified>
</cp:coreProperties>
</file>