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-623570</wp:posOffset>
            </wp:positionV>
            <wp:extent cx="57785" cy="636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739775</wp:posOffset>
            </wp:positionV>
            <wp:extent cx="6994525" cy="5372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5372100"/>
                    </a:xfrm>
                    <a:prstGeom prst="rect">
                      <a:avLst/>
                    </a:prstGeom>
                    <a:noFill/>
                  </pic:spPr>
                </pic:pic>
              </a:graphicData>
            </a:graphic>
          </wp:anchor>
        </w:drawing>
      </w:r>
    </w:p>
    <w:p>
      <w:pPr>
        <w:spacing w:after="0" w:line="1228"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LOWENSTEIN INESE</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RAPID MICRO BIOSYSTEMS, INC.</w:t>
      </w:r>
    </w:p>
    <w:p>
      <w:pPr>
        <w:spacing w:after="0" w:line="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HARTWELL AVENUE</w:t>
      </w:r>
    </w:p>
    <w:p>
      <w:pPr>
        <w:spacing w:after="0" w:line="279"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LEXINGTON</w:t>
            </w:r>
          </w:p>
        </w:tc>
        <w:tc>
          <w:tcPr>
            <w:tcW w:w="9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02421</w:t>
            </w:r>
          </w:p>
        </w:tc>
      </w:tr>
      <w:tr>
        <w:trPr>
          <w:trHeight w:val="148"/>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3"/>
          </w:tcPr>
          <w:p>
            <w:pPr>
              <w:spacing w:after="0" w:line="141"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RAPID MICRO BIOSYSTEMS, INC. </w:t>
              </w:r>
            </w:hyperlink>
            <w:r>
              <w:rPr>
                <w:rFonts w:ascii="Times New Roman" w:cs="Times New Roman" w:eastAsia="Times New Roman" w:hAnsi="Times New Roman"/>
                <w:sz w:val="16"/>
                <w:szCs w:val="16"/>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06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37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RPID </w:t>
            </w:r>
            <w:r>
              <w:rPr>
                <w:rFonts w:ascii="Times New Roman" w:cs="Times New Roman" w:eastAsia="Times New Roman" w:hAnsi="Times New Roman"/>
                <w:sz w:val="20"/>
                <w:szCs w:val="20"/>
                <w:color w:val="000000"/>
              </w:rPr>
              <w:t>]</w:t>
            </w:r>
          </w:p>
        </w:tc>
        <w:tc>
          <w:tcPr>
            <w:tcW w:w="18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60" w:type="dxa"/>
            <w:vAlign w:val="bottom"/>
          </w:tcPr>
          <w:p>
            <w:pPr>
              <w:spacing w:after="0"/>
              <w:rPr>
                <w:sz w:val="9"/>
                <w:szCs w:val="9"/>
                <w:color w:val="auto"/>
              </w:rPr>
            </w:pPr>
          </w:p>
        </w:tc>
        <w:tc>
          <w:tcPr>
            <w:tcW w:w="3760" w:type="dxa"/>
            <w:vAlign w:val="bottom"/>
            <w:gridSpan w:val="3"/>
            <w:vMerge w:val="continue"/>
          </w:tcPr>
          <w:p>
            <w:pPr>
              <w:spacing w:after="0"/>
              <w:rPr>
                <w:sz w:val="9"/>
                <w:szCs w:val="9"/>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0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840" w:type="dxa"/>
            <w:vAlign w:val="bottom"/>
          </w:tcPr>
          <w:p>
            <w:pPr>
              <w:ind w:left="600"/>
              <w:spacing w:after="0" w:line="109" w:lineRule="exact"/>
              <w:rPr>
                <w:sz w:val="20"/>
                <w:szCs w:val="20"/>
                <w:color w:val="auto"/>
              </w:rPr>
            </w:pPr>
            <w:r>
              <w:rPr>
                <w:rFonts w:ascii="Arial" w:cs="Arial" w:eastAsia="Arial" w:hAnsi="Arial"/>
                <w:sz w:val="12"/>
                <w:szCs w:val="12"/>
                <w:color w:val="auto"/>
              </w:rPr>
              <w:t>below)</w:t>
            </w:r>
          </w:p>
        </w:tc>
        <w:tc>
          <w:tcPr>
            <w:tcW w:w="1460" w:type="dxa"/>
            <w:vAlign w:val="bottom"/>
          </w:tcPr>
          <w:p>
            <w:pPr>
              <w:ind w:left="340"/>
              <w:spacing w:after="0" w:line="109"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80"/>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2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05/29/2026</w:t>
            </w:r>
          </w:p>
        </w:tc>
        <w:tc>
          <w:tcPr>
            <w:tcW w:w="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0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3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2"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2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5"/>
              </w:rPr>
              <w:t>Disposed Of (D) (Instr. 3, 4 and 5)</w:t>
            </w:r>
          </w:p>
        </w:tc>
        <w:tc>
          <w:tcPr>
            <w:tcW w:w="8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05/29/2026</w:t>
            </w: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w w:val="98"/>
              </w:rPr>
              <w:t>12,787</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1.955</w:t>
            </w:r>
          </w:p>
        </w:tc>
        <w:tc>
          <w:tcPr>
            <w:tcW w:w="128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70,687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Series A</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vMerge w:val="restart"/>
          </w:tcPr>
          <w:p>
            <w:pPr>
              <w:jc w:val="center"/>
              <w:ind w:right="58"/>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Warrant</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vMerge w:val="restart"/>
          </w:tcPr>
          <w:p>
            <w:pPr>
              <w:ind w:left="100"/>
              <w:spacing w:after="0" w:line="205" w:lineRule="exact"/>
              <w:rPr>
                <w:sz w:val="20"/>
                <w:szCs w:val="20"/>
                <w:color w:val="auto"/>
              </w:rPr>
            </w:pPr>
            <w:r>
              <w:rPr>
                <w:rFonts w:ascii="Times New Roman" w:cs="Times New Roman" w:eastAsia="Times New Roman" w:hAnsi="Times New Roman"/>
                <w:sz w:val="23"/>
                <w:szCs w:val="23"/>
                <w:color w:val="0000FF"/>
                <w:vertAlign w:val="subscript"/>
              </w:rPr>
              <w:t>A</w:t>
            </w:r>
            <w:r>
              <w:rPr>
                <w:rFonts w:ascii="Times New Roman" w:cs="Times New Roman" w:eastAsia="Times New Roman" w:hAnsi="Times New Roman"/>
                <w:sz w:val="10"/>
                <w:szCs w:val="10"/>
                <w:color w:val="008000"/>
              </w:rPr>
              <w:t>(1)</w:t>
            </w: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60" w:type="dxa"/>
            <w:vAlign w:val="bottom"/>
            <w:gridSpan w:val="2"/>
            <w:vMerge w:val="restart"/>
          </w:tcPr>
          <w:p>
            <w:pPr>
              <w:ind w:left="40"/>
              <w:spacing w:after="0" w:line="206" w:lineRule="exact"/>
              <w:rPr>
                <w:sz w:val="20"/>
                <w:szCs w:val="20"/>
                <w:color w:val="auto"/>
              </w:rPr>
            </w:pPr>
            <w:r>
              <w:rPr>
                <w:rFonts w:ascii="Times New Roman" w:cs="Times New Roman" w:eastAsia="Times New Roman" w:hAnsi="Times New Roman"/>
                <w:sz w:val="13"/>
                <w:szCs w:val="13"/>
                <w:color w:val="0000FF"/>
              </w:rPr>
              <w:t>11/29/2026</w:t>
            </w:r>
            <w:r>
              <w:rPr>
                <w:rFonts w:ascii="Times New Roman" w:cs="Times New Roman" w:eastAsia="Times New Roman" w:hAnsi="Times New Roman"/>
                <w:sz w:val="21"/>
                <w:szCs w:val="21"/>
                <w:color w:val="008000"/>
                <w:vertAlign w:val="superscript"/>
              </w:rPr>
              <w:t>(2)</w:t>
            </w: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12,787</w:t>
            </w:r>
          </w:p>
        </w:tc>
        <w:tc>
          <w:tcPr>
            <w:tcW w:w="60" w:type="dxa"/>
            <w:vAlign w:val="bottom"/>
          </w:tcPr>
          <w:p>
            <w:pPr>
              <w:spacing w:after="0"/>
              <w:rPr>
                <w:sz w:val="5"/>
                <w:szCs w:val="5"/>
                <w:color w:val="auto"/>
              </w:rPr>
            </w:pPr>
          </w:p>
        </w:tc>
        <w:tc>
          <w:tcPr>
            <w:tcW w:w="700" w:type="dxa"/>
            <w:vAlign w:val="bottom"/>
            <w:gridSpan w:val="2"/>
            <w:vMerge w:val="restart"/>
          </w:tcPr>
          <w:p>
            <w:pPr>
              <w:ind w:left="160"/>
              <w:spacing w:after="0" w:line="205" w:lineRule="exact"/>
              <w:rPr>
                <w:sz w:val="20"/>
                <w:szCs w:val="20"/>
                <w:color w:val="auto"/>
              </w:rPr>
            </w:pPr>
            <w:r>
              <w:rPr>
                <w:rFonts w:ascii="Arial" w:cs="Arial" w:eastAsia="Arial" w:hAnsi="Arial"/>
                <w:sz w:val="21"/>
                <w:szCs w:val="21"/>
                <w:color w:val="000000"/>
                <w:vertAlign w:val="subscript"/>
              </w:rPr>
              <w:t>$</w:t>
            </w:r>
            <w:r>
              <w:rPr>
                <w:rFonts w:ascii="Times New Roman" w:cs="Times New Roman" w:eastAsia="Times New Roman" w:hAnsi="Times New Roman"/>
                <w:sz w:val="23"/>
                <w:szCs w:val="23"/>
                <w:color w:val="0000FF"/>
                <w:vertAlign w:val="subscript"/>
              </w:rPr>
              <w:t>0</w:t>
            </w:r>
            <w:r>
              <w:rPr>
                <w:rFonts w:ascii="Times New Roman" w:cs="Times New Roman" w:eastAsia="Times New Roman" w:hAnsi="Times New Roman"/>
                <w:sz w:val="10"/>
                <w:szCs w:val="10"/>
                <w:color w:val="008000"/>
              </w:rPr>
              <w:t>(1)</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80" w:type="dxa"/>
            <w:vAlign w:val="bottom"/>
          </w:tcPr>
          <w:p>
            <w:pPr>
              <w:jc w:val="center"/>
              <w:ind w:right="12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1.955</w:t>
            </w:r>
          </w:p>
        </w:tc>
        <w:tc>
          <w:tcPr>
            <w:tcW w:w="1040" w:type="dxa"/>
            <w:vAlign w:val="bottom"/>
          </w:tcPr>
          <w:p>
            <w:pPr>
              <w:jc w:val="right"/>
              <w:ind w:right="140"/>
              <w:spacing w:after="0" w:line="141" w:lineRule="exact"/>
              <w:rPr>
                <w:sz w:val="20"/>
                <w:szCs w:val="20"/>
                <w:color w:val="auto"/>
              </w:rPr>
            </w:pPr>
            <w:r>
              <w:rPr>
                <w:rFonts w:ascii="Times New Roman" w:cs="Times New Roman" w:eastAsia="Times New Roman" w:hAnsi="Times New Roman"/>
                <w:sz w:val="13"/>
                <w:szCs w:val="13"/>
                <w:color w:val="0000FF"/>
              </w:rPr>
              <w:t>05/29/2026</w:t>
            </w:r>
          </w:p>
        </w:tc>
        <w:tc>
          <w:tcPr>
            <w:tcW w:w="1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58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12,787</w:t>
            </w:r>
          </w:p>
        </w:tc>
        <w:tc>
          <w:tcPr>
            <w:tcW w:w="3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00" w:type="dxa"/>
            <w:vAlign w:val="bottom"/>
          </w:tcPr>
          <w:p>
            <w:pPr>
              <w:spacing w:after="0" w:line="141" w:lineRule="exact"/>
              <w:rPr>
                <w:sz w:val="20"/>
                <w:szCs w:val="20"/>
                <w:color w:val="auto"/>
              </w:rPr>
            </w:pPr>
            <w:r>
              <w:rPr>
                <w:rFonts w:ascii="Times New Roman" w:cs="Times New Roman" w:eastAsia="Times New Roman" w:hAnsi="Times New Roman"/>
                <w:sz w:val="13"/>
                <w:szCs w:val="13"/>
                <w:color w:val="0000FF"/>
              </w:rPr>
              <w:t>05/29/2027</w:t>
            </w:r>
          </w:p>
        </w:tc>
        <w:tc>
          <w:tcPr>
            <w:tcW w:w="64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80" w:type="dxa"/>
            <w:vAlign w:val="bottom"/>
          </w:tcPr>
          <w:p>
            <w:pPr>
              <w:ind w:left="220"/>
              <w:spacing w:after="0" w:line="141" w:lineRule="exact"/>
              <w:rPr>
                <w:sz w:val="20"/>
                <w:szCs w:val="20"/>
                <w:color w:val="auto"/>
              </w:rPr>
            </w:pPr>
            <w:r>
              <w:rPr>
                <w:rFonts w:ascii="Times New Roman" w:cs="Times New Roman" w:eastAsia="Times New Roman" w:hAnsi="Times New Roman"/>
                <w:sz w:val="13"/>
                <w:szCs w:val="13"/>
                <w:color w:val="0000FF"/>
                <w:w w:val="94"/>
              </w:rPr>
              <w:t>12,787</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vMerge w:val="restart"/>
          </w:tcPr>
          <w:p>
            <w:pPr>
              <w:jc w:val="center"/>
              <w:ind w:right="38"/>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Series B</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vMerge w:val="restart"/>
          </w:tcPr>
          <w:p>
            <w:pPr>
              <w:jc w:val="center"/>
              <w:ind w:right="58"/>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Warrant</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vMerge w:val="restart"/>
          </w:tcPr>
          <w:p>
            <w:pPr>
              <w:ind w:left="100"/>
              <w:spacing w:after="0" w:line="205" w:lineRule="exact"/>
              <w:rPr>
                <w:sz w:val="20"/>
                <w:szCs w:val="20"/>
                <w:color w:val="auto"/>
              </w:rPr>
            </w:pPr>
            <w:r>
              <w:rPr>
                <w:rFonts w:ascii="Times New Roman" w:cs="Times New Roman" w:eastAsia="Times New Roman" w:hAnsi="Times New Roman"/>
                <w:sz w:val="23"/>
                <w:szCs w:val="23"/>
                <w:color w:val="0000FF"/>
                <w:vertAlign w:val="subscript"/>
              </w:rPr>
              <w:t>A</w:t>
            </w:r>
            <w:r>
              <w:rPr>
                <w:rFonts w:ascii="Times New Roman" w:cs="Times New Roman" w:eastAsia="Times New Roman" w:hAnsi="Times New Roman"/>
                <w:sz w:val="10"/>
                <w:szCs w:val="10"/>
                <w:color w:val="008000"/>
              </w:rPr>
              <w:t>(1)</w:t>
            </w: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60" w:type="dxa"/>
            <w:vAlign w:val="bottom"/>
            <w:gridSpan w:val="2"/>
            <w:vMerge w:val="restart"/>
          </w:tcPr>
          <w:p>
            <w:pPr>
              <w:ind w:left="40"/>
              <w:spacing w:after="0" w:line="206" w:lineRule="exact"/>
              <w:rPr>
                <w:sz w:val="20"/>
                <w:szCs w:val="20"/>
                <w:color w:val="auto"/>
              </w:rPr>
            </w:pPr>
            <w:r>
              <w:rPr>
                <w:rFonts w:ascii="Times New Roman" w:cs="Times New Roman" w:eastAsia="Times New Roman" w:hAnsi="Times New Roman"/>
                <w:sz w:val="13"/>
                <w:szCs w:val="13"/>
                <w:color w:val="0000FF"/>
              </w:rPr>
              <w:t>11/29/2026</w:t>
            </w:r>
            <w:r>
              <w:rPr>
                <w:rFonts w:ascii="Times New Roman" w:cs="Times New Roman" w:eastAsia="Times New Roman" w:hAnsi="Times New Roman"/>
                <w:sz w:val="21"/>
                <w:szCs w:val="21"/>
                <w:color w:val="008000"/>
                <w:vertAlign w:val="superscript"/>
              </w:rPr>
              <w:t>(2)</w:t>
            </w: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12,787</w:t>
            </w:r>
          </w:p>
        </w:tc>
        <w:tc>
          <w:tcPr>
            <w:tcW w:w="60" w:type="dxa"/>
            <w:vAlign w:val="bottom"/>
          </w:tcPr>
          <w:p>
            <w:pPr>
              <w:spacing w:after="0"/>
              <w:rPr>
                <w:sz w:val="5"/>
                <w:szCs w:val="5"/>
                <w:color w:val="auto"/>
              </w:rPr>
            </w:pPr>
          </w:p>
        </w:tc>
        <w:tc>
          <w:tcPr>
            <w:tcW w:w="700" w:type="dxa"/>
            <w:vAlign w:val="bottom"/>
            <w:gridSpan w:val="2"/>
            <w:vMerge w:val="restart"/>
          </w:tcPr>
          <w:p>
            <w:pPr>
              <w:ind w:left="160"/>
              <w:spacing w:after="0" w:line="205" w:lineRule="exact"/>
              <w:rPr>
                <w:sz w:val="20"/>
                <w:szCs w:val="20"/>
                <w:color w:val="auto"/>
              </w:rPr>
            </w:pPr>
            <w:r>
              <w:rPr>
                <w:rFonts w:ascii="Arial" w:cs="Arial" w:eastAsia="Arial" w:hAnsi="Arial"/>
                <w:sz w:val="21"/>
                <w:szCs w:val="21"/>
                <w:color w:val="000000"/>
                <w:vertAlign w:val="subscript"/>
              </w:rPr>
              <w:t>$</w:t>
            </w:r>
            <w:r>
              <w:rPr>
                <w:rFonts w:ascii="Times New Roman" w:cs="Times New Roman" w:eastAsia="Times New Roman" w:hAnsi="Times New Roman"/>
                <w:sz w:val="23"/>
                <w:szCs w:val="23"/>
                <w:color w:val="0000FF"/>
                <w:vertAlign w:val="subscript"/>
              </w:rPr>
              <w:t>0</w:t>
            </w:r>
            <w:r>
              <w:rPr>
                <w:rFonts w:ascii="Times New Roman" w:cs="Times New Roman" w:eastAsia="Times New Roman" w:hAnsi="Times New Roman"/>
                <w:sz w:val="10"/>
                <w:szCs w:val="10"/>
                <w:color w:val="008000"/>
              </w:rPr>
              <w:t>(1)</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80" w:type="dxa"/>
            <w:vAlign w:val="bottom"/>
          </w:tcPr>
          <w:p>
            <w:pPr>
              <w:jc w:val="center"/>
              <w:ind w:right="1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2.34</w:t>
            </w:r>
          </w:p>
        </w:tc>
        <w:tc>
          <w:tcPr>
            <w:tcW w:w="1040" w:type="dxa"/>
            <w:vAlign w:val="bottom"/>
          </w:tcPr>
          <w:p>
            <w:pPr>
              <w:jc w:val="right"/>
              <w:ind w:right="140"/>
              <w:spacing w:after="0" w:line="141" w:lineRule="exact"/>
              <w:rPr>
                <w:sz w:val="20"/>
                <w:szCs w:val="20"/>
                <w:color w:val="auto"/>
              </w:rPr>
            </w:pPr>
            <w:r>
              <w:rPr>
                <w:rFonts w:ascii="Times New Roman" w:cs="Times New Roman" w:eastAsia="Times New Roman" w:hAnsi="Times New Roman"/>
                <w:sz w:val="13"/>
                <w:szCs w:val="13"/>
                <w:color w:val="0000FF"/>
              </w:rPr>
              <w:t>05/29/2026</w:t>
            </w:r>
          </w:p>
        </w:tc>
        <w:tc>
          <w:tcPr>
            <w:tcW w:w="1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58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12,787</w:t>
            </w:r>
          </w:p>
        </w:tc>
        <w:tc>
          <w:tcPr>
            <w:tcW w:w="3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00" w:type="dxa"/>
            <w:vAlign w:val="bottom"/>
          </w:tcPr>
          <w:p>
            <w:pPr>
              <w:spacing w:after="0" w:line="141" w:lineRule="exact"/>
              <w:rPr>
                <w:sz w:val="20"/>
                <w:szCs w:val="20"/>
                <w:color w:val="auto"/>
              </w:rPr>
            </w:pPr>
            <w:r>
              <w:rPr>
                <w:rFonts w:ascii="Times New Roman" w:cs="Times New Roman" w:eastAsia="Times New Roman" w:hAnsi="Times New Roman"/>
                <w:sz w:val="13"/>
                <w:szCs w:val="13"/>
                <w:color w:val="0000FF"/>
              </w:rPr>
              <w:t>05/29/2031</w:t>
            </w:r>
          </w:p>
        </w:tc>
        <w:tc>
          <w:tcPr>
            <w:tcW w:w="64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80" w:type="dxa"/>
            <w:vAlign w:val="bottom"/>
          </w:tcPr>
          <w:p>
            <w:pPr>
              <w:ind w:left="220"/>
              <w:spacing w:after="0" w:line="141" w:lineRule="exact"/>
              <w:rPr>
                <w:sz w:val="20"/>
                <w:szCs w:val="20"/>
                <w:color w:val="auto"/>
              </w:rPr>
            </w:pPr>
            <w:r>
              <w:rPr>
                <w:rFonts w:ascii="Times New Roman" w:cs="Times New Roman" w:eastAsia="Times New Roman" w:hAnsi="Times New Roman"/>
                <w:sz w:val="13"/>
                <w:szCs w:val="13"/>
                <w:color w:val="0000FF"/>
                <w:w w:val="94"/>
              </w:rPr>
              <w:t>12,787</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vMerge w:val="restart"/>
          </w:tcPr>
          <w:p>
            <w:pPr>
              <w:jc w:val="center"/>
              <w:ind w:right="38"/>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-2530475</wp:posOffset>
            </wp:positionV>
            <wp:extent cx="29210" cy="2535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5355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jc w:val="both"/>
        <w:ind w:left="40" w:right="200" w:firstLine="1"/>
        <w:spacing w:after="0" w:line="236"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29, 2026, the Reporting Person purchased, in a registered direct offering, 12,787 shares of the Issuer's Class A Common Stock, as well as an accompanying Series A Warrant to purchase 12,787 shares of the Issuer's Class A Common Stock (or pre-funded warrants in lieu thereof) and an accompanying Series B Warrant to purchase 12,787 shares of the Issuer's Class A Common Stock (or pre-funded warrants in lieu thereof). The purchase price of each share of Issuer Class A Common Stock and accompanying Series A and Series B Warrant was $1.955. The issuance of such securities was approved by the Issuer's compensation committee of the board of directors in accordance with Rule 16(b)-3 of the Securities Exchange Act of 1934, as amended.</w:t>
      </w:r>
    </w:p>
    <w:p>
      <w:pPr>
        <w:spacing w:after="0" w:line="28" w:lineRule="exact"/>
        <w:rPr>
          <w:rFonts w:ascii="Times New Roman" w:cs="Times New Roman" w:eastAsia="Times New Roman" w:hAnsi="Times New Roman"/>
          <w:sz w:val="13"/>
          <w:szCs w:val="13"/>
          <w:color w:val="008000"/>
        </w:rPr>
      </w:pPr>
    </w:p>
    <w:p>
      <w:pPr>
        <w:ind w:left="40" w:right="200" w:firstLine="1"/>
        <w:spacing w:after="0"/>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Series A and Series B Warrants cannot be exercised for shares of the Issuer's Class A Common Stock if, as a result of such exercise, the holder, together with its affiliates and any other persons whose beneficial ownership would be aggregated for purposes of Section 13(d) of the Act, would beneficially own more than 4.99% of the total number of shares of the Issuer's Class A Common Stock then outstanding immediately following such exercise.</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Sean M. Wirtjes, Attorney-</w:t>
            </w:r>
          </w:p>
        </w:tc>
        <w:tc>
          <w:tcPr>
            <w:tcW w:w="80" w:type="dxa"/>
            <w:vAlign w:val="bottom"/>
          </w:tcPr>
          <w:p>
            <w:pPr>
              <w:spacing w:after="0"/>
              <w:rPr>
                <w:sz w:val="17"/>
                <w:szCs w:val="17"/>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06/02/2026</w:t>
            </w:r>
          </w:p>
        </w:tc>
        <w:tc>
          <w:tcPr>
            <w:tcW w:w="0" w:type="dxa"/>
            <w:vAlign w:val="bottom"/>
          </w:tcPr>
          <w:p>
            <w:pPr>
              <w:spacing w:after="0"/>
              <w:rPr>
                <w:sz w:val="1"/>
                <w:szCs w:val="1"/>
                <w:color w:val="auto"/>
              </w:rPr>
            </w:pPr>
          </w:p>
        </w:tc>
      </w:tr>
      <w:tr>
        <w:trPr>
          <w:trHeight w:val="83"/>
        </w:trPr>
        <w:tc>
          <w:tcPr>
            <w:tcW w:w="210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in-Fact for Inese Lowenstein</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19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80" w:type="dxa"/>
            <w:vAlign w:val="bottom"/>
            <w:gridSpan w:val="2"/>
          </w:tcPr>
          <w:p>
            <w:pPr>
              <w:spacing w:after="0"/>
              <w:rPr>
                <w:sz w:val="19"/>
                <w:szCs w:val="19"/>
                <w:color w:val="auto"/>
              </w:rPr>
            </w:pP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00476" TargetMode="External"/><Relationship Id="rId14" Type="http://schemas.openxmlformats.org/officeDocument/2006/relationships/hyperlink" Target="http://www.sec.gov/cgi-bin/browse-edgar?action=getcompany&amp;CIK=00013801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2026-06-02T18:47:04Z</dcterms:created>
  <dcterms:modified xsi:type="dcterms:W3CDTF">2026-06-02T18:47:04Z</dcterms:modified>
</cp:coreProperties>
</file>