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12, 2026</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6866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13335</wp:posOffset>
            </wp:positionV>
            <wp:extent cx="6866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124460</wp:posOffset>
            </wp:positionV>
            <wp:extent cx="6866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124460</wp:posOffset>
            </wp:positionV>
            <wp:extent cx="6866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Rapid Micro Biosystems, Inc.</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116205</wp:posOffset>
            </wp:positionV>
            <wp:extent cx="6866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46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20-8121647</w:t>
            </w:r>
          </w:p>
        </w:tc>
        <w:tc>
          <w:tcPr>
            <w:tcW w:w="0" w:type="dxa"/>
            <w:vAlign w:val="bottom"/>
          </w:tcPr>
          <w:p>
            <w:pPr>
              <w:spacing w:after="0"/>
              <w:rPr>
                <w:sz w:val="1"/>
                <w:szCs w:val="1"/>
                <w:color w:val="auto"/>
              </w:rPr>
            </w:pPr>
          </w:p>
        </w:tc>
      </w:tr>
      <w:tr>
        <w:trPr>
          <w:trHeight w:val="184"/>
        </w:trPr>
        <w:tc>
          <w:tcPr>
            <w:tcW w:w="4620" w:type="dxa"/>
            <w:vAlign w:val="bottom"/>
          </w:tcPr>
          <w:p>
            <w:pPr>
              <w:jc w:val="center"/>
              <w:ind w:right="15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060" w:type="dxa"/>
            <w:vAlign w:val="bottom"/>
          </w:tcPr>
          <w:p>
            <w:pPr>
              <w:jc w:val="center"/>
              <w:ind w:left="15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6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06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56"/>
        </w:trPr>
        <w:tc>
          <w:tcPr>
            <w:tcW w:w="46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25 Hartwell Avenue</w:t>
            </w:r>
          </w:p>
        </w:tc>
        <w:tc>
          <w:tcPr>
            <w:tcW w:w="3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02421</w:t>
            </w:r>
          </w:p>
        </w:tc>
        <w:tc>
          <w:tcPr>
            <w:tcW w:w="0" w:type="dxa"/>
            <w:vAlign w:val="bottom"/>
          </w:tcPr>
          <w:p>
            <w:pPr>
              <w:spacing w:after="0"/>
              <w:rPr>
                <w:sz w:val="1"/>
                <w:szCs w:val="1"/>
                <w:color w:val="auto"/>
              </w:rPr>
            </w:pPr>
          </w:p>
        </w:tc>
      </w:tr>
      <w:tr>
        <w:trPr>
          <w:trHeight w:val="234"/>
        </w:trPr>
        <w:tc>
          <w:tcPr>
            <w:tcW w:w="46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Lexington, MA</w:t>
            </w:r>
          </w:p>
        </w:tc>
        <w:tc>
          <w:tcPr>
            <w:tcW w:w="3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6866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left="160" w:right="1280"/>
        <w:spacing w:after="0" w:line="246" w:lineRule="auto"/>
        <w:rPr>
          <w:sz w:val="20"/>
          <w:szCs w:val="20"/>
          <w:color w:val="auto"/>
        </w:rPr>
      </w:pPr>
      <w:r>
        <w:rPr>
          <w:rFonts w:ascii="Times New Roman" w:cs="Times New Roman" w:eastAsia="Times New Roman" w:hAnsi="Times New Roman"/>
          <w:sz w:val="18"/>
          <w:szCs w:val="18"/>
          <w:b w:val="1"/>
          <w:bCs w:val="1"/>
          <w:color w:val="auto"/>
        </w:rPr>
        <w:t>Rapid Micro Biosystems, Inc. 2021 Incentive Award Plan Rapid Micro Biosystems, Inc. 2021 Employee Stock Purchase Plan Rapid Micro Biosystems, Inc. 2023 Inducement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6866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Robert Spignesi</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Rapid Micro Biosystems, Inc.</w:t>
      </w:r>
    </w:p>
    <w:p>
      <w:pPr>
        <w:jc w:val="center"/>
        <w:ind w:right="1120"/>
        <w:spacing w:after="0" w:line="204" w:lineRule="auto"/>
        <w:rPr>
          <w:sz w:val="20"/>
          <w:szCs w:val="20"/>
          <w:color w:val="auto"/>
        </w:rPr>
      </w:pPr>
      <w:r>
        <w:rPr>
          <w:rFonts w:ascii="Times New Roman" w:cs="Times New Roman" w:eastAsia="Times New Roman" w:hAnsi="Times New Roman"/>
          <w:sz w:val="18"/>
          <w:szCs w:val="18"/>
          <w:b w:val="1"/>
          <w:bCs w:val="1"/>
          <w:color w:val="auto"/>
        </w:rPr>
        <w:t>25 Hartwell Avenue</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Lexington, MA 02421</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(978) 349-3200</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6866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jc w:val="center"/>
        <w:ind w:right="1120"/>
        <w:spacing w:after="0" w:line="210" w:lineRule="auto"/>
        <w:rPr>
          <w:sz w:val="20"/>
          <w:szCs w:val="20"/>
          <w:color w:val="auto"/>
        </w:rPr>
      </w:pPr>
      <w:r>
        <w:rPr>
          <w:rFonts w:ascii="Times New Roman" w:cs="Times New Roman" w:eastAsia="Times New Roman" w:hAnsi="Times New Roman"/>
          <w:sz w:val="18"/>
          <w:szCs w:val="18"/>
          <w:b w:val="1"/>
          <w:bCs w:val="1"/>
          <w:color w:val="auto"/>
        </w:rPr>
        <w:t>Edwin O'Connor, Esq.</w:t>
      </w:r>
    </w:p>
    <w:p>
      <w:pPr>
        <w:jc w:val="center"/>
        <w:ind w:right="1120"/>
        <w:spacing w:after="0" w:line="235" w:lineRule="auto"/>
        <w:rPr>
          <w:sz w:val="20"/>
          <w:szCs w:val="20"/>
          <w:color w:val="auto"/>
        </w:rPr>
      </w:pPr>
      <w:r>
        <w:rPr>
          <w:rFonts w:ascii="Times New Roman" w:cs="Times New Roman" w:eastAsia="Times New Roman" w:hAnsi="Times New Roman"/>
          <w:sz w:val="18"/>
          <w:szCs w:val="18"/>
          <w:b w:val="1"/>
          <w:bCs w:val="1"/>
          <w:color w:val="auto"/>
        </w:rPr>
        <w:t>Adam Johnson, Esq.</w:t>
      </w:r>
    </w:p>
    <w:p>
      <w:pPr>
        <w:ind w:left="3640"/>
        <w:spacing w:after="0" w:line="235" w:lineRule="auto"/>
        <w:rPr>
          <w:sz w:val="20"/>
          <w:szCs w:val="20"/>
          <w:color w:val="auto"/>
        </w:rPr>
      </w:pPr>
      <w:r>
        <w:rPr>
          <w:rFonts w:ascii="Times New Roman" w:cs="Times New Roman" w:eastAsia="Times New Roman" w:hAnsi="Times New Roman"/>
          <w:sz w:val="18"/>
          <w:szCs w:val="18"/>
          <w:b w:val="1"/>
          <w:bCs w:val="1"/>
          <w:color w:val="auto"/>
        </w:rPr>
        <w:t>Goodwin Procter LLP</w:t>
      </w:r>
    </w:p>
    <w:p>
      <w:pPr>
        <w:ind w:left="3780"/>
        <w:spacing w:after="0" w:line="203" w:lineRule="auto"/>
        <w:rPr>
          <w:sz w:val="20"/>
          <w:szCs w:val="20"/>
          <w:color w:val="auto"/>
        </w:rPr>
      </w:pPr>
      <w:r>
        <w:rPr>
          <w:rFonts w:ascii="Times New Roman" w:cs="Times New Roman" w:eastAsia="Times New Roman" w:hAnsi="Times New Roman"/>
          <w:sz w:val="18"/>
          <w:szCs w:val="18"/>
          <w:b w:val="1"/>
          <w:bCs w:val="1"/>
          <w:color w:val="auto"/>
        </w:rPr>
        <w:t>620 Eighth Avenue</w:t>
      </w:r>
    </w:p>
    <w:p>
      <w:pPr>
        <w:jc w:val="center"/>
        <w:ind w:right="1120"/>
        <w:spacing w:after="0" w:line="204" w:lineRule="auto"/>
        <w:rPr>
          <w:sz w:val="20"/>
          <w:szCs w:val="20"/>
          <w:color w:val="auto"/>
        </w:rPr>
      </w:pPr>
      <w:r>
        <w:rPr>
          <w:rFonts w:ascii="Times New Roman" w:cs="Times New Roman" w:eastAsia="Times New Roman" w:hAnsi="Times New Roman"/>
          <w:sz w:val="18"/>
          <w:szCs w:val="18"/>
          <w:b w:val="1"/>
          <w:bCs w:val="1"/>
          <w:color w:val="auto"/>
        </w:rPr>
        <w:t>New York, NY 10018</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124460</wp:posOffset>
            </wp:positionV>
            <wp:extent cx="6866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 w:name="page2"/>
    <w:bookmarkEnd w:id="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and “smaller reporting company,” and “emerging growth company” in Rule 12b-2 of the Exchange Act.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1"/>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rPr>
                <w:sz w:val="20"/>
                <w:szCs w:val="20"/>
                <w:color w:val="auto"/>
              </w:rPr>
            </w:pPr>
            <w:r>
              <w:rPr>
                <w:rFonts w:ascii="Wingdings" w:cs="Wingdings" w:eastAsia="Wingdings" w:hAnsi="Wingdings"/>
                <w:sz w:val="18"/>
                <w:szCs w:val="18"/>
                <w:b w:val="1"/>
                <w:bCs w:val="1"/>
                <w:color w:val="auto"/>
                <w:w w:val="83"/>
              </w:rPr>
              <w:t>x</w:t>
            </w:r>
          </w:p>
        </w:tc>
      </w:tr>
      <w:tr>
        <w:trPr>
          <w:trHeight w:val="459"/>
        </w:trPr>
        <w:tc>
          <w:tcPr>
            <w:tcW w:w="1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6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38"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Rapid Micro Biosystems, Inc. (the “Registrant”) for the purpose of registering (i) 1,998,547 additional shares of Class A common stock, par value $0.01 per share (“Common Stock”), under the Registrant’s 2021 Incentive Award Plan (the “2021 Plan”), which were added on January 1, 2026 as a result of an automatic annual increase provision therein and (ii) 399,709 additional shares of Common Stock under the Registrant’s 2021 Employee Stock Purchase Plan (the “ESPP”), which were added on January 1, 2026 as a result of an automatic annual increase provision therein.</w:t>
      </w:r>
    </w:p>
    <w:p>
      <w:pPr>
        <w:spacing w:after="0" w:line="21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This Registration Statement also registers 1,442,987 additional shares of Common Stock under the Registrant’s 2023 Inducement Plan, as amended by the Third Amendment to the Inducement Plan and the Fourth Amendment to the Inducement Plan (as amended, the “Inducement Plan”), pursuant to which the aggregate number of shares of Common Stock reserved and available for issuance under the Inducement Plan was increased by 1,442,987 shares.</w:t>
      </w:r>
    </w:p>
    <w:p>
      <w:pPr>
        <w:spacing w:after="0" w:line="204" w:lineRule="exact"/>
        <w:rPr>
          <w:sz w:val="20"/>
          <w:szCs w:val="20"/>
          <w:color w:val="auto"/>
        </w:rPr>
      </w:pPr>
    </w:p>
    <w:p>
      <w:pPr>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additional shares of Common Stock registered on this Registration Statement are of the same class as other securities for which a registration statement is effective. This Registration Statement is being filed for the purpose of increasing the number of shares of Common Stock issuable pursuant to the 2021 Plan, ESPP and Inducement Plan, and re-registering shares of Common Stock underlying forfeited restricted stock units previously granted under the 2021 Plan and the Inducement Plan. The Registrant’s registration statements on </w:t>
      </w:r>
      <w:hyperlink r:id="rId17">
        <w:r>
          <w:rPr>
            <w:rFonts w:ascii="Times New Roman" w:cs="Times New Roman" w:eastAsia="Times New Roman" w:hAnsi="Times New Roman"/>
            <w:sz w:val="18"/>
            <w:szCs w:val="18"/>
            <w:u w:val="single" w:color="auto"/>
            <w:color w:val="0000FF"/>
          </w:rPr>
          <w:t>Form S-8 filed on July 16, 2021 (File No. 333-257981)</w:t>
        </w:r>
      </w:hyperlink>
      <w:r>
        <w:rPr>
          <w:rFonts w:ascii="Times New Roman" w:cs="Times New Roman" w:eastAsia="Times New Roman" w:hAnsi="Times New Roman"/>
          <w:sz w:val="18"/>
          <w:szCs w:val="18"/>
          <w:color w:val="auto"/>
        </w:rPr>
        <w:t xml:space="preserve">, relating to the 2021 Plan and the ESPP, on </w:t>
      </w:r>
      <w:hyperlink r:id="rId18">
        <w:r>
          <w:rPr>
            <w:rFonts w:ascii="Times New Roman" w:cs="Times New Roman" w:eastAsia="Times New Roman" w:hAnsi="Times New Roman"/>
            <w:sz w:val="18"/>
            <w:szCs w:val="18"/>
            <w:u w:val="single" w:color="auto"/>
            <w:color w:val="0000FF"/>
          </w:rPr>
          <w:t>May 4, 2023 (File No. 333-271659)</w:t>
        </w:r>
      </w:hyperlink>
      <w:r>
        <w:rPr>
          <w:rFonts w:ascii="Times New Roman" w:cs="Times New Roman" w:eastAsia="Times New Roman" w:hAnsi="Times New Roman"/>
          <w:sz w:val="18"/>
          <w:szCs w:val="18"/>
          <w:color w:val="auto"/>
        </w:rPr>
        <w:t xml:space="preserve">, relating to the Inducement Plan, and on </w:t>
      </w:r>
      <w:hyperlink r:id="rId19">
        <w:r>
          <w:rPr>
            <w:rFonts w:ascii="Times New Roman" w:cs="Times New Roman" w:eastAsia="Times New Roman" w:hAnsi="Times New Roman"/>
            <w:sz w:val="18"/>
            <w:szCs w:val="18"/>
            <w:u w:val="single" w:color="auto"/>
            <w:color w:val="0000FF"/>
          </w:rPr>
          <w:t xml:space="preserve">February 28, 2025 </w:t>
        </w:r>
      </w:hyperlink>
      <w:r>
        <w:rPr>
          <w:rFonts w:ascii="Times New Roman" w:cs="Times New Roman" w:eastAsia="Times New Roman" w:hAnsi="Times New Roman"/>
          <w:sz w:val="18"/>
          <w:szCs w:val="18"/>
          <w:color w:val="auto"/>
        </w:rPr>
        <w:t xml:space="preserve">(File </w:t>
      </w:r>
      <w:hyperlink r:id="rId19">
        <w:r>
          <w:rPr>
            <w:rFonts w:ascii="Times New Roman" w:cs="Times New Roman" w:eastAsia="Times New Roman" w:hAnsi="Times New Roman"/>
            <w:sz w:val="18"/>
            <w:szCs w:val="18"/>
            <w:u w:val="single" w:color="auto"/>
            <w:color w:val="0000FF"/>
          </w:rPr>
          <w:t>No. 333-285455)</w:t>
        </w:r>
      </w:hyperlink>
      <w:r>
        <w:rPr>
          <w:rFonts w:ascii="Times New Roman" w:cs="Times New Roman" w:eastAsia="Times New Roman" w:hAnsi="Times New Roman"/>
          <w:sz w:val="18"/>
          <w:szCs w:val="18"/>
          <w:color w:val="auto"/>
        </w:rPr>
        <w:t>, relating to the 2021 Plan, the ESPP and the Inducement Plan are hereby incorporated by reference pursuant to General Instruction E.</w:t>
      </w:r>
    </w:p>
    <w:p>
      <w:pPr>
        <w:spacing w:after="0" w:line="20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6" w:lineRule="exact"/>
        <w:rPr>
          <w:rFonts w:ascii="Times New Roman" w:cs="Times New Roman" w:eastAsia="Times New Roman" w:hAnsi="Times New Roman"/>
          <w:sz w:val="18"/>
          <w:szCs w:val="18"/>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pacing w:after="0" w:line="18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rFonts w:ascii="Times New Roman" w:cs="Times New Roman" w:eastAsia="Times New Roman" w:hAnsi="Times New Roman"/>
          <w:sz w:val="18"/>
          <w:szCs w:val="18"/>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66" w:lineRule="exact"/>
        <w:rPr>
          <w:rFonts w:ascii="Times New Roman" w:cs="Times New Roman" w:eastAsia="Times New Roman" w:hAnsi="Times New Roman"/>
          <w:sz w:val="18"/>
          <w:szCs w:val="18"/>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7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which have been filed with the Commission by the Registrant, pursuant to the Securities Act of 1933, as amended (the</w:t>
      </w:r>
    </w:p>
    <w:p>
      <w:pPr>
        <w:spacing w:after="0" w:line="2" w:lineRule="exact"/>
        <w:rPr>
          <w:rFonts w:ascii="Times New Roman" w:cs="Times New Roman" w:eastAsia="Times New Roman" w:hAnsi="Times New Roman"/>
          <w:sz w:val="18"/>
          <w:szCs w:val="18"/>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“Securities Act”), and the Securities Exchange Act of 1934, as amended (the “Exchange Act”), as applicable, are hereby incorporated by reference in, and shall be deemed to be a part of, this Registration Statement:</w:t>
      </w:r>
    </w:p>
    <w:p>
      <w:pPr>
        <w:spacing w:after="0" w:line="14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032"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Annual Report on Form 10-K for its fiscal year ended December 31, 2025, filed with the Commission </w:t>
      </w:r>
      <w:hyperlink r:id="rId20">
        <w:r>
          <w:rPr>
            <w:rFonts w:ascii="Times New Roman" w:cs="Times New Roman" w:eastAsia="Times New Roman" w:hAnsi="Times New Roman"/>
            <w:sz w:val="18"/>
            <w:szCs w:val="18"/>
            <w:u w:val="single" w:color="auto"/>
            <w:color w:val="0000FF"/>
          </w:rPr>
          <w:t>on March 12,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(Commission File No. 001-40592)</w:t>
        </w:r>
      </w:hyperlink>
      <w:r>
        <w:rPr>
          <w:rFonts w:ascii="Times New Roman" w:cs="Times New Roman" w:eastAsia="Times New Roman" w:hAnsi="Times New Roman"/>
          <w:sz w:val="18"/>
          <w:szCs w:val="18"/>
          <w:color w:val="000000"/>
        </w:rPr>
        <w:t>.</w:t>
      </w:r>
    </w:p>
    <w:p>
      <w:pPr>
        <w:spacing w:after="0" w:line="148" w:lineRule="exact"/>
        <w:rPr>
          <w:rFonts w:ascii="Times New Roman" w:cs="Times New Roman" w:eastAsia="Times New Roman" w:hAnsi="Times New Roman"/>
          <w:sz w:val="18"/>
          <w:szCs w:val="18"/>
          <w:color w:val="0000FF"/>
        </w:rPr>
      </w:pPr>
    </w:p>
    <w:p>
      <w:pPr>
        <w:ind w:left="980" w:right="180" w:hanging="324"/>
        <w:spacing w:after="0"/>
        <w:tabs>
          <w:tab w:leader="none" w:pos="1046" w:val="left"/>
        </w:tabs>
        <w:numPr>
          <w:ilvl w:val="0"/>
          <w:numId w:val="1"/>
        </w:numPr>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auto"/>
          </w:rPr>
          <w:t xml:space="preserve">The description of the Registrant’s Common Stock contained in the Registrant’s Registration Statement on </w:t>
        </w:r>
        <w:r>
          <w:rPr>
            <w:rFonts w:ascii="Times New Roman" w:cs="Times New Roman" w:eastAsia="Times New Roman" w:hAnsi="Times New Roman"/>
            <w:sz w:val="18"/>
            <w:szCs w:val="18"/>
            <w:u w:val="single" w:color="auto"/>
            <w:color w:val="0000FF"/>
          </w:rPr>
          <w:t>Form 8-A (File No. 001-40592)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filed with the Commission on July 12, 2021</w:t>
        </w:r>
        <w:r>
          <w:rPr>
            <w:rFonts w:ascii="Times New Roman" w:cs="Times New Roman" w:eastAsia="Times New Roman" w:hAnsi="Times New Roman"/>
            <w:sz w:val="18"/>
            <w:szCs w:val="18"/>
            <w:color w:val="000000"/>
          </w:rPr>
          <w:t>, including any amendments or reports filed for the purpose of updating such description,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Exhibit 4.7 to the Registrant’s Annual Report on Form 10-K for the fiscal year ended December 31, 2023, as filed with the Commission on March 1, 2024.</w:t>
      </w:r>
    </w:p>
    <w:p>
      <w:pPr>
        <w:spacing w:after="0" w:line="212" w:lineRule="exact"/>
        <w:rPr>
          <w:rFonts w:ascii="Times New Roman" w:cs="Times New Roman" w:eastAsia="Times New Roman" w:hAnsi="Times New Roman"/>
          <w:sz w:val="18"/>
          <w:szCs w:val="18"/>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subsequent to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w:t>
      </w:r>
    </w:p>
    <w:p>
      <w:pPr>
        <w:sectPr>
          <w:pgSz w:w="11900" w:h="16838" w:orient="portrait"/>
          <w:cols w:equalWidth="0" w:num="1">
            <w:col w:w="11240"/>
          </w:cols>
          <w:pgMar w:left="320" w:top="1400" w:right="339" w:bottom="1440" w:gutter="0" w:footer="0" w:header="0"/>
        </w:sectPr>
      </w:pPr>
    </w:p>
    <w:bookmarkStart w:id="3" w:name="page4"/>
    <w:bookmarkEnd w:id="3"/>
    <w:p>
      <w:pPr>
        <w:ind w:right="120"/>
        <w:spacing w:after="0" w:line="242" w:lineRule="auto"/>
        <w:rPr>
          <w:sz w:val="20"/>
          <w:szCs w:val="20"/>
          <w:color w:val="auto"/>
        </w:rPr>
      </w:pPr>
      <w:r>
        <w:rPr>
          <w:rFonts w:ascii="Times New Roman" w:cs="Times New Roman" w:eastAsia="Times New Roman" w:hAnsi="Times New Roman"/>
          <w:sz w:val="18"/>
          <w:szCs w:val="18"/>
          <w:color w:val="auto"/>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statement so modified or superseded shall not be deemed, except as so modified or superseded, to constitute a part of this Registration Statement, except as to such specific section of such statements as set forth therein.</w:t>
      </w:r>
    </w:p>
    <w:p>
      <w:pPr>
        <w:spacing w:after="0" w:line="26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9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complete copy of the Delaware General Corporation Law (the “DGCL”) and the Registrant’s Restated Certificate of Incorporation and Amended and Restated Bylaws.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Section 102 of the DGCL permits a corporation to eliminate or limit the personal liability of directors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9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1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will indemnify each person who was or is a party or threatened to be made a party to any threatened, pending or completed action, suit or proceeding (other than an action by or in the right of it) by reason of the fact that he or she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Amended and Restated Bylaws</w:t>
      </w:r>
    </w:p>
    <w:p>
      <w:pPr>
        <w:sectPr>
          <w:pgSz w:w="11900" w:h="16838" w:orient="portrait"/>
          <w:cols w:equalWidth="0" w:num="1">
            <w:col w:w="11220"/>
          </w:cols>
          <w:pgMar w:left="320" w:top="1404" w:right="359" w:bottom="1440" w:gutter="0" w:footer="0" w:header="0"/>
        </w:sectPr>
      </w:pPr>
    </w:p>
    <w:bookmarkStart w:id="4" w:name="page5"/>
    <w:bookmarkEnd w:id="4"/>
    <w:p>
      <w:pPr>
        <w:ind w:right="40"/>
        <w:spacing w:after="0" w:line="236" w:lineRule="auto"/>
        <w:rPr>
          <w:sz w:val="20"/>
          <w:szCs w:val="20"/>
          <w:color w:val="auto"/>
        </w:rPr>
      </w:pPr>
      <w:r>
        <w:rPr>
          <w:rFonts w:ascii="Times New Roman" w:cs="Times New Roman" w:eastAsia="Times New Roman" w:hAnsi="Times New Roman"/>
          <w:sz w:val="18"/>
          <w:szCs w:val="18"/>
          <w:color w:val="auto"/>
        </w:rPr>
        <w:t>provide that the Registrant will indemnify any Indemnitee who was or is a party to an action or suit by or in the right of the Registrant to procure a judgment in the Registrant’s favor by reason of the fact that the Indemnitee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spacing w:after="0" w:line="21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the Registrant’s directors and executive officers. These indemnification agreements may require the Registrant, among other things, to indemnify its directors and executive officers for some expenses, including attorneys’ fees, judgments, fines and settlement amounts incurred by a director or executive officer in any action or proceeding arising out of his or her service as one of the Registrant’s directors or executive officers, or any other company or enterprise to which the person provides services at the Registrant’s request.</w:t>
      </w:r>
    </w:p>
    <w:p>
      <w:pPr>
        <w:spacing w:after="0" w:line="19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Registrant maintains a general liability insurance policy that covers certain liabilities of directors and officers of the Registrant’s corporation arising out of claims based on acts or omissions in their capacities as directors or officers.</w:t>
      </w:r>
    </w:p>
    <w:p>
      <w:pPr>
        <w:spacing w:after="0" w:line="23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80" w:type="dxa"/>
            <w:vAlign w:val="bottom"/>
            <w:gridSpan w:val="1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Restated Certificate of Incorporation (incorporated by reference to Exhibit 3.1 to the Registrant's Annual Report on Form 10-K (File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No. 001-40952) filed on February 28, 2025).</w:t>
              </w:r>
            </w:hyperlink>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Amended and Restated Bylaws (incorporated by reference to Exhibit 3.2 to the Registrant's Current Report on Form 8-K (File No.</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3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001-40952) filed on July 21, 2021)</w:t>
              </w:r>
              <w:r>
                <w:rPr>
                  <w:rFonts w:ascii="Times New Roman" w:cs="Times New Roman" w:eastAsia="Times New Roman" w:hAnsi="Times New Roman"/>
                  <w:sz w:val="18"/>
                  <w:szCs w:val="18"/>
                  <w:color w:val="000000"/>
                </w:rPr>
                <w:t>.</w:t>
              </w:r>
            </w:hyperlink>
          </w:p>
        </w:tc>
        <w:tc>
          <w:tcPr>
            <w:tcW w:w="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5.</w:t>
            </w:r>
            <w:r>
              <w:rPr>
                <w:rFonts w:ascii="Times New Roman" w:cs="Times New Roman" w:eastAsia="Times New Roman" w:hAnsi="Times New Roman"/>
                <w:sz w:val="18"/>
                <w:szCs w:val="18"/>
                <w:u w:val="single" w:color="auto"/>
                <w:color w:val="0000FF"/>
                <w:w w:val="85"/>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Opinion of Goodwin Procter LLP.</w:t>
            </w:r>
          </w:p>
        </w:tc>
        <w:tc>
          <w:tcPr>
            <w:tcW w:w="7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23.2+</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Goodwin Procter LLP (included in Exhibit 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24.</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5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04" w:right="339" w:bottom="1440" w:gutter="0" w:footer="0" w:header="0"/>
        </w:sectPr>
      </w:pPr>
    </w:p>
    <w:bookmarkStart w:id="5" w:name="page6"/>
    <w:bookmarkEnd w:id="5"/>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0" w:type="dxa"/>
            <w:vAlign w:val="bottom"/>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1180" w:type="dxa"/>
            <w:vAlign w:val="bottom"/>
          </w:tcPr>
          <w:p>
            <w:pPr>
              <w:spacing w:after="0"/>
              <w:rPr>
                <w:sz w:val="17"/>
                <w:szCs w:val="17"/>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Rapid Micro Biosystems, Inc. 2021 Incentive Award Plan and forms of award agreements thereunder (incorporated by reference to</w:t>
              </w:r>
            </w:hyperlink>
          </w:p>
        </w:tc>
      </w:tr>
      <w:tr>
        <w:trPr>
          <w:trHeight w:val="155"/>
        </w:trPr>
        <w:tc>
          <w:tcPr>
            <w:tcW w:w="38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Exhibit 10.2 to Amendment No. 1 to the Registrant’s Registration Statement on Form S-1 (Reg. No. 333-257431) filed on July 12,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2021).</w:t>
              </w:r>
            </w:hyperlink>
          </w:p>
        </w:tc>
        <w:tc>
          <w:tcPr>
            <w:tcW w:w="5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380" w:type="dxa"/>
            <w:vAlign w:val="bottom"/>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Rapid Micro Biosystems, Inc. 2021 Employee Stock Purchase Plan (incorporated by reference to Exhibit 10.3 to Amendment No. 1</w:t>
              </w:r>
            </w:hyperlink>
          </w:p>
        </w:tc>
      </w:tr>
      <w:tr>
        <w:trPr>
          <w:trHeight w:val="156"/>
        </w:trPr>
        <w:tc>
          <w:tcPr>
            <w:tcW w:w="38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to the Registrant’s Registration Statement on Form S-1 (Reg. No. 333-257431) filed on July 12, 2021).</w:t>
              </w:r>
            </w:hyperlink>
          </w:p>
        </w:tc>
        <w:tc>
          <w:tcPr>
            <w:tcW w:w="2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426"/>
        </w:trPr>
        <w:tc>
          <w:tcPr>
            <w:tcW w:w="380" w:type="dxa"/>
            <w:vAlign w:val="bottom"/>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3</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Rapid Micro Biosystems, Inc. 2023 Inducement Plan and forms of award agreements thereunder (incorporated by reference to</w:t>
              </w:r>
            </w:hyperlink>
          </w:p>
        </w:tc>
      </w:tr>
      <w:tr>
        <w:trPr>
          <w:trHeight w:val="156"/>
        </w:trPr>
        <w:tc>
          <w:tcPr>
            <w:tcW w:w="38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Exhibit 99.1 to the Registrant’s Registration Statement on Form S-8 (File No. 333-271659) filed on May 4, 2023).</w:t>
              </w:r>
            </w:hyperlink>
          </w:p>
        </w:tc>
        <w:tc>
          <w:tcPr>
            <w:tcW w:w="8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479"/>
        </w:trPr>
        <w:tc>
          <w:tcPr>
            <w:tcW w:w="380" w:type="dxa"/>
            <w:vAlign w:val="bottom"/>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4</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First Amendment to Rapid Micro Biosystems, Inc. 2023 Inducement Plan (incorporated by reference to Exhibit 10.21 to the</w:t>
              </w:r>
            </w:hyperlink>
          </w:p>
        </w:tc>
      </w:tr>
      <w:tr>
        <w:trPr>
          <w:trHeight w:val="156"/>
        </w:trPr>
        <w:tc>
          <w:tcPr>
            <w:tcW w:w="380" w:type="dxa"/>
            <w:vAlign w:val="bottom"/>
            <w:tcBorders>
              <w:top w:val="single" w:sz="8" w:color="0000FF"/>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Registrant’s Annual Report on Form 10-K (File No. 001-40952) filed on March 1, 2024).</w:t>
              </w:r>
            </w:hyperlink>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79"/>
        </w:trPr>
        <w:tc>
          <w:tcPr>
            <w:tcW w:w="380" w:type="dxa"/>
            <w:vAlign w:val="bottom"/>
          </w:tcPr>
          <w:p>
            <w:pPr>
              <w:spacing w:after="0"/>
              <w:rPr>
                <w:rFonts w:ascii="Times New Roman" w:cs="Times New Roman" w:eastAsia="Times New Roman" w:hAnsi="Times New Roman"/>
                <w:sz w:val="18"/>
                <w:szCs w:val="18"/>
                <w:color w:val="3051F2"/>
              </w:rPr>
            </w:pPr>
            <w:hyperlink r:id="rId28">
              <w:r>
                <w:rPr>
                  <w:rFonts w:ascii="Times New Roman" w:cs="Times New Roman" w:eastAsia="Times New Roman" w:hAnsi="Times New Roman"/>
                  <w:sz w:val="18"/>
                  <w:szCs w:val="18"/>
                  <w:color w:val="3051F2"/>
                </w:rPr>
                <w:t>99.</w:t>
              </w:r>
              <w:r>
                <w:rPr>
                  <w:rFonts w:ascii="Times New Roman" w:cs="Times New Roman" w:eastAsia="Times New Roman" w:hAnsi="Times New Roman"/>
                  <w:sz w:val="18"/>
                  <w:szCs w:val="18"/>
                  <w:u w:val="single" w:color="auto"/>
                  <w:color w:val="3051F2"/>
                </w:rPr>
                <w:t>5</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Second Amendment to Rapid Micro Biosystems, Inc. 2023 Inducement Plan (incorporated by reference to Exhibit 10.21 to the</w:t>
              </w:r>
            </w:hyperlink>
          </w:p>
        </w:tc>
      </w:tr>
      <w:tr>
        <w:trPr>
          <w:trHeight w:val="156"/>
        </w:trPr>
        <w:tc>
          <w:tcPr>
            <w:tcW w:w="380" w:type="dxa"/>
            <w:vAlign w:val="bottom"/>
            <w:tcBorders>
              <w:top w:val="single" w:sz="8" w:color="3051F2"/>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6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Registrant’s Annual Report on Form 10-K (File No. 001-40952) filed on February 28, 2025).</w:t>
              </w:r>
            </w:hyperlink>
          </w:p>
        </w:tc>
        <w:tc>
          <w:tcPr>
            <w:tcW w:w="2420" w:type="dxa"/>
            <w:vAlign w:val="bottom"/>
            <w:tcBorders>
              <w:top w:val="single" w:sz="8" w:color="0000FF"/>
            </w:tcBorders>
            <w:gridSpan w:val="8"/>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479"/>
        </w:trPr>
        <w:tc>
          <w:tcPr>
            <w:tcW w:w="380" w:type="dxa"/>
            <w:vAlign w:val="bottom"/>
          </w:tcPr>
          <w:p>
            <w:pPr>
              <w:spacing w:after="0"/>
              <w:rPr>
                <w:rFonts w:ascii="Times New Roman" w:cs="Times New Roman" w:eastAsia="Times New Roman" w:hAnsi="Times New Roman"/>
                <w:sz w:val="18"/>
                <w:szCs w:val="18"/>
                <w:color w:val="auto"/>
              </w:rPr>
            </w:pPr>
            <w:hyperlink r:id="rId29">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6</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Third Amendment to Rapid Micro Biosystems, Inc. 2023 Inducement Plan (incorporated by reference to Exhibit 10.1 to the</w:t>
              </w:r>
            </w:hyperlink>
          </w:p>
        </w:tc>
      </w:tr>
      <w:tr>
        <w:trPr>
          <w:trHeight w:val="156"/>
        </w:trPr>
        <w:tc>
          <w:tcPr>
            <w:tcW w:w="38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Registrant’s Quarterly Report on Form 10-Q (File No. 001-40952) filed on August 12, 2025).</w:t>
              </w:r>
            </w:hyperlink>
          </w:p>
        </w:tc>
        <w:tc>
          <w:tcPr>
            <w:tcW w:w="180" w:type="dxa"/>
            <w:vAlign w:val="bottom"/>
            <w:gridSpan w:val="2"/>
          </w:tcPr>
          <w:p>
            <w:pPr>
              <w:spacing w:after="0"/>
              <w:rPr>
                <w:sz w:val="13"/>
                <w:szCs w:val="13"/>
                <w:color w:val="auto"/>
              </w:rPr>
            </w:pPr>
          </w:p>
        </w:tc>
        <w:tc>
          <w:tcPr>
            <w:tcW w:w="420" w:type="dxa"/>
            <w:vAlign w:val="bottom"/>
            <w:gridSpan w:val="6"/>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479"/>
        </w:trPr>
        <w:tc>
          <w:tcPr>
            <w:tcW w:w="380" w:type="dxa"/>
            <w:vAlign w:val="bottom"/>
          </w:tcPr>
          <w:p>
            <w:pPr>
              <w:spacing w:after="0"/>
              <w:rPr>
                <w:rFonts w:ascii="Times New Roman" w:cs="Times New Roman" w:eastAsia="Times New Roman" w:hAnsi="Times New Roman"/>
                <w:sz w:val="18"/>
                <w:szCs w:val="18"/>
                <w:color w:val="auto"/>
              </w:rPr>
            </w:pPr>
            <w:hyperlink r:id="rId20">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7</w:t>
              </w:r>
            </w:hyperlink>
          </w:p>
        </w:tc>
        <w:tc>
          <w:tcPr>
            <w:tcW w:w="1180" w:type="dxa"/>
            <w:vAlign w:val="bottom"/>
          </w:tcPr>
          <w:p>
            <w:pPr>
              <w:spacing w:after="0"/>
              <w:rPr>
                <w:sz w:val="24"/>
                <w:szCs w:val="24"/>
                <w:color w:val="auto"/>
              </w:rPr>
            </w:pPr>
          </w:p>
        </w:tc>
        <w:tc>
          <w:tcPr>
            <w:tcW w:w="9500" w:type="dxa"/>
            <w:vAlign w:val="bottom"/>
            <w:gridSpan w:val="1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Fourth Amendment to Rapid Micro Biosystems, Inc. 2023 Inducement Plan (incorporated by reference to Exhibit 10.21 to the</w:t>
              </w:r>
            </w:hyperlink>
          </w:p>
        </w:tc>
      </w:tr>
      <w:tr>
        <w:trPr>
          <w:trHeight w:val="156"/>
        </w:trPr>
        <w:tc>
          <w:tcPr>
            <w:tcW w:w="38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5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Registrant’s Annual Report on Form 10-K (File No. 001-40952) filed on March 12, 2026).</w:t>
              </w:r>
            </w:hyperlink>
          </w:p>
        </w:tc>
        <w:tc>
          <w:tcPr>
            <w:tcW w:w="2560" w:type="dxa"/>
            <w:vAlign w:val="bottom"/>
            <w:tcBorders>
              <w:top w:val="single" w:sz="8" w:color="0000FF"/>
            </w:tcBorders>
            <w:gridSpan w:val="7"/>
          </w:tcPr>
          <w:p>
            <w:pPr>
              <w:spacing w:after="0"/>
              <w:rPr>
                <w:sz w:val="13"/>
                <w:szCs w:val="13"/>
                <w:color w:val="auto"/>
              </w:rPr>
            </w:pPr>
          </w:p>
        </w:tc>
        <w:tc>
          <w:tcPr>
            <w:tcW w:w="420" w:type="dxa"/>
            <w:vAlign w:val="bottom"/>
            <w:gridSpan w:val="6"/>
          </w:tcPr>
          <w:p>
            <w:pPr>
              <w:spacing w:after="0"/>
              <w:rPr>
                <w:sz w:val="13"/>
                <w:szCs w:val="13"/>
                <w:color w:val="auto"/>
              </w:rPr>
            </w:pPr>
          </w:p>
        </w:tc>
      </w:tr>
      <w:tr>
        <w:trPr>
          <w:trHeight w:val="47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0000FF"/>
                <w:w w:val="91"/>
              </w:rPr>
              <w:t>107+</w:t>
            </w:r>
          </w:p>
        </w:tc>
        <w:tc>
          <w:tcPr>
            <w:tcW w:w="118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Fee Filing Table.</w:t>
            </w: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70"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4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ind w:left="1300" w:firstLine="4"/>
        <w:spacing w:after="0" w:line="217" w:lineRule="auto"/>
        <w:tabs>
          <w:tab w:leader="none" w:pos="1565"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ectPr>
          <w:pgSz w:w="11900" w:h="16838" w:orient="portrait"/>
          <w:cols w:equalWidth="0" w:num="1">
            <w:col w:w="11220"/>
          </w:cols>
          <w:pgMar w:left="320" w:top="1440" w:right="359" w:bottom="1440" w:gutter="0" w:footer="0" w:header="0"/>
        </w:sectPr>
      </w:pPr>
    </w:p>
    <w:bookmarkStart w:id="6" w:name="page7"/>
    <w:bookmarkEnd w:id="6"/>
    <w:p>
      <w:pPr>
        <w:ind w:left="644" w:right="80" w:firstLine="4"/>
        <w:spacing w:after="0" w:line="237" w:lineRule="auto"/>
        <w:tabs>
          <w:tab w:leader="none" w:pos="9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9" w:lineRule="exact"/>
        <w:rPr>
          <w:sz w:val="20"/>
          <w:szCs w:val="20"/>
          <w:color w:val="auto"/>
        </w:rPr>
      </w:pPr>
    </w:p>
    <w:p>
      <w:pPr>
        <w:ind w:left="324" w:right="40"/>
        <w:spacing w:after="0" w:line="237"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of this section do not apply if the Registration Statement is on Form S-8,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required to be included in a post-effective amendment by those paragraphs is contained in periodic reports filed with or furnished</w:t>
      </w:r>
    </w:p>
    <w:p>
      <w:pPr>
        <w:ind w:left="324" w:right="300"/>
        <w:spacing w:after="0" w:line="226" w:lineRule="auto"/>
        <w:rPr>
          <w:sz w:val="20"/>
          <w:szCs w:val="20"/>
          <w:color w:val="auto"/>
        </w:rPr>
      </w:pPr>
      <w:r>
        <w:rPr>
          <w:rFonts w:ascii="Times New Roman" w:cs="Times New Roman" w:eastAsia="Times New Roman" w:hAnsi="Times New Roman"/>
          <w:sz w:val="18"/>
          <w:szCs w:val="18"/>
          <w:color w:val="auto"/>
        </w:rPr>
        <w:t>to the Commission by the Registrant pursuant to Section 13 or Section 15(d) of the Exchange Act that are incorporated by reference in the Registration Statement.</w:t>
      </w:r>
    </w:p>
    <w:p>
      <w:pPr>
        <w:spacing w:after="0" w:line="130" w:lineRule="exact"/>
        <w:rPr>
          <w:sz w:val="20"/>
          <w:szCs w:val="20"/>
          <w:color w:val="auto"/>
        </w:rPr>
      </w:pPr>
    </w:p>
    <w:p>
      <w:pPr>
        <w:jc w:val="both"/>
        <w:ind w:left="324" w:right="220"/>
        <w:spacing w:after="0" w:line="226" w:lineRule="auto"/>
        <w:tabs>
          <w:tab w:leader="none" w:pos="57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30" w:lineRule="exact"/>
        <w:rPr>
          <w:rFonts w:ascii="Times New Roman" w:cs="Times New Roman" w:eastAsia="Times New Roman" w:hAnsi="Times New Roman"/>
          <w:sz w:val="18"/>
          <w:szCs w:val="18"/>
          <w:color w:val="auto"/>
        </w:rPr>
      </w:pPr>
    </w:p>
    <w:p>
      <w:pPr>
        <w:ind w:left="324" w:right="300"/>
        <w:spacing w:after="0" w:line="237" w:lineRule="auto"/>
        <w:tabs>
          <w:tab w:leader="none" w:pos="57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Times New Roman" w:cs="Times New Roman" w:eastAsia="Times New Roman" w:hAnsi="Times New Roman"/>
          <w:sz w:val="18"/>
          <w:szCs w:val="18"/>
          <w:color w:val="auto"/>
        </w:rPr>
      </w:pPr>
    </w:p>
    <w:p>
      <w:pPr>
        <w:ind w:left="324" w:right="100" w:hanging="324"/>
        <w:spacing w:after="0" w:line="220" w:lineRule="auto"/>
        <w:tabs>
          <w:tab w:leader="none" w:pos="3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ind w:left="324" w:hanging="324"/>
        <w:spacing w:after="0" w:line="215" w:lineRule="auto"/>
        <w:tabs>
          <w:tab w:leader="none" w:pos="3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64"/>
          </w:cols>
          <w:pgMar w:left="976" w:top="140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Lexington, Commonwealth of Massachusetts, on the 12th day of March, 2026.</w:t>
      </w:r>
    </w:p>
    <w:p>
      <w:pPr>
        <w:spacing w:after="0" w:line="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256" w:lineRule="exact"/>
        <w:rPr>
          <w:sz w:val="20"/>
          <w:szCs w:val="20"/>
          <w:color w:val="auto"/>
        </w:rPr>
      </w:pPr>
    </w:p>
    <w:p>
      <w:pPr>
        <w:ind w:left="542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Spignesi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Robert Spignesi</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8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the undersigned officers and directors of Rapid Micro Biosystems, Inc., hereby severally constitute and appoint Robert Spignesi and Sean Wirtjes,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filing pursuant to Rule 462(b) under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person, hereby ratifying and confirming all that said attorneys-in-fact and agents or any of them, or their or his or her substitute or substitutes, may lawfully do or cause to be done by virtue hereof.</w:t>
      </w:r>
    </w:p>
    <w:p>
      <w:pPr>
        <w:spacing w:after="0" w:line="18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held on the dates indicated.</w:t>
      </w:r>
    </w:p>
    <w:p>
      <w:pPr>
        <w:spacing w:after="0" w:line="226" w:lineRule="exact"/>
        <w:rPr>
          <w:sz w:val="20"/>
          <w:szCs w:val="20"/>
          <w:color w:val="auto"/>
        </w:rPr>
      </w:pPr>
    </w:p>
    <w:p>
      <w:pPr>
        <w:ind w:left="2520"/>
        <w:spacing w:after="0"/>
        <w:tabs>
          <w:tab w:leader="none" w:pos="7280" w:val="left"/>
          <w:tab w:leader="none" w:pos="1002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ectPr>
          <w:pgSz w:w="11900" w:h="16838" w:orient="portrait"/>
          <w:cols w:equalWidth="0" w:num="1">
            <w:col w:w="11240"/>
          </w:cols>
          <w:pgMar w:left="320" w:top="1373"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Spignesi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Spignesi</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Wirtjes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Wirtjes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18"/>
          <w:szCs w:val="18"/>
          <w:color w:val="auto"/>
        </w:rPr>
        <w:t>President, Chief Executive Officer and</w:t>
      </w:r>
      <w:r>
        <w:rPr>
          <w:sz w:val="20"/>
          <w:szCs w:val="20"/>
          <w:color w:val="auto"/>
        </w:rPr>
        <w:tab/>
      </w:r>
      <w:r>
        <w:rPr>
          <w:rFonts w:ascii="Times New Roman" w:cs="Times New Roman" w:eastAsia="Times New Roman" w:hAnsi="Times New Roman"/>
          <w:sz w:val="17"/>
          <w:szCs w:val="17"/>
          <w:color w:val="auto"/>
        </w:rPr>
        <w:t>March 12, 2026</w:t>
      </w:r>
    </w:p>
    <w:p>
      <w:pPr>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75"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18"/>
          <w:szCs w:val="18"/>
          <w:color w:val="auto"/>
        </w:rPr>
        <w:t>Chief Financial Officer (principal financial</w:t>
      </w:r>
      <w:r>
        <w:rPr>
          <w:sz w:val="20"/>
          <w:szCs w:val="20"/>
          <w:color w:val="auto"/>
        </w:rPr>
        <w:tab/>
      </w:r>
      <w:r>
        <w:rPr>
          <w:rFonts w:ascii="Times New Roman" w:cs="Times New Roman" w:eastAsia="Times New Roman" w:hAnsi="Times New Roman"/>
          <w:sz w:val="17"/>
          <w:szCs w:val="17"/>
          <w:color w:val="auto"/>
        </w:rPr>
        <w:t>March 12, 2026</w:t>
      </w:r>
    </w:p>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72" w:lineRule="exact"/>
        <w:rPr>
          <w:sz w:val="20"/>
          <w:szCs w:val="20"/>
          <w:color w:val="auto"/>
        </w:rPr>
      </w:pPr>
    </w:p>
    <w:p>
      <w:pPr>
        <w:sectPr>
          <w:pgSz w:w="11900" w:h="16838" w:orient="portrait"/>
          <w:cols w:equalWidth="0" w:num="2">
            <w:col w:w="5160" w:space="720"/>
            <w:col w:w="5360"/>
          </w:cols>
          <w:pgMar w:left="320" w:top="137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Kirk D. Malloy</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Kirk D. Malloy, Ph.D.</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Dafni Bika</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Dafni Bika, Ph.D.</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Kollender</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Kollender</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Melinda Litherland</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Melinda Litherland</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6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Inese Lowenstein</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Inese Lowenstein</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8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Natale Ricciardi</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7"/>
        </w:trPr>
        <w:tc>
          <w:tcPr>
            <w:tcW w:w="57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Natale Ricciardi</w:t>
            </w:r>
          </w:p>
        </w:tc>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1240"/>
          </w:cols>
          <w:pgMar w:left="320" w:top="1373"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Rapid Micro Biosystems,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89140" cy="3274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089140" cy="327469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Borders>
              <w:top w:val="single" w:sz="8" w:color="auto"/>
              <w:right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Proposed</w:t>
            </w: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46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5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920" w:type="dxa"/>
            <w:vAlign w:val="bottom"/>
            <w:tcBorders>
              <w:right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5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920" w:type="dxa"/>
            <w:vAlign w:val="bottom"/>
            <w:tcBorders>
              <w:right w:val="single" w:sz="8" w:color="auto"/>
            </w:tcBorders>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5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2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Type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Title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4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1"/>
                <w:szCs w:val="21"/>
                <w:b w:val="1"/>
                <w:bCs w:val="1"/>
                <w:color w:val="auto"/>
                <w:w w:val="96"/>
                <w:vertAlign w:val="superscript"/>
              </w:rPr>
              <w:t>(1)</w:t>
            </w:r>
          </w:p>
        </w:tc>
        <w:tc>
          <w:tcPr>
            <w:tcW w:w="13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w w:val="94"/>
              </w:rPr>
              <w:t>Unit</w:t>
            </w:r>
            <w:r>
              <w:rPr>
                <w:rFonts w:ascii="Times New Roman" w:cs="Times New Roman" w:eastAsia="Times New Roman" w:hAnsi="Times New Roman"/>
                <w:sz w:val="21"/>
                <w:szCs w:val="21"/>
                <w:b w:val="1"/>
                <w:bCs w:val="1"/>
                <w:color w:val="auto"/>
                <w:w w:val="94"/>
                <w:vertAlign w:val="superscript"/>
              </w:rPr>
              <w:t>(2)</w:t>
            </w:r>
          </w:p>
        </w:tc>
        <w:tc>
          <w:tcPr>
            <w:tcW w:w="15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w w:val="92"/>
              </w:rPr>
              <w:t>Price</w:t>
            </w:r>
            <w:r>
              <w:rPr>
                <w:rFonts w:ascii="Times New Roman" w:cs="Times New Roman" w:eastAsia="Times New Roman" w:hAnsi="Times New Roman"/>
                <w:sz w:val="21"/>
                <w:szCs w:val="21"/>
                <w:b w:val="1"/>
                <w:bCs w:val="1"/>
                <w:color w:val="auto"/>
                <w:w w:val="92"/>
                <w:vertAlign w:val="superscript"/>
              </w:rPr>
              <w:t>(2)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2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Equity</w:t>
            </w:r>
          </w:p>
        </w:tc>
        <w:tc>
          <w:tcPr>
            <w:tcW w:w="196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Class A common Stock, par</w:t>
            </w:r>
          </w:p>
        </w:tc>
        <w:tc>
          <w:tcPr>
            <w:tcW w:w="124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Rule 457(c)</w:t>
            </w:r>
          </w:p>
        </w:tc>
        <w:tc>
          <w:tcPr>
            <w:tcW w:w="146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2,522,824</w:t>
            </w:r>
          </w:p>
        </w:tc>
        <w:tc>
          <w:tcPr>
            <w:tcW w:w="132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$4.08</w:t>
            </w:r>
          </w:p>
        </w:tc>
        <w:tc>
          <w:tcPr>
            <w:tcW w:w="156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$10,293,121.92</w:t>
            </w:r>
          </w:p>
        </w:tc>
        <w:tc>
          <w:tcPr>
            <w:tcW w:w="1280" w:type="dxa"/>
            <w:vAlign w:val="bottom"/>
            <w:tcBorders>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0.0001381</w:t>
            </w:r>
          </w:p>
        </w:tc>
        <w:tc>
          <w:tcPr>
            <w:tcW w:w="14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$1,421.48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Borders>
              <w:right w:val="single" w:sz="8" w:color="auto"/>
            </w:tcBorders>
            <w:shd w:val="clear" w:color="auto" w:fill="CCEEFF"/>
          </w:tcPr>
          <w:p>
            <w:pPr>
              <w:spacing w:after="0"/>
              <w:rPr>
                <w:sz w:val="21"/>
                <w:szCs w:val="21"/>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value $0.01 per share,</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and Rule</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shares</w:t>
            </w:r>
            <w:r>
              <w:rPr>
                <w:rFonts w:ascii="Times New Roman" w:cs="Times New Roman" w:eastAsia="Times New Roman" w:hAnsi="Times New Roman"/>
                <w:sz w:val="21"/>
                <w:szCs w:val="21"/>
                <w:color w:val="auto"/>
                <w:w w:val="92"/>
                <w:vertAlign w:val="superscript"/>
              </w:rPr>
              <w:t>(3)</w:t>
            </w:r>
          </w:p>
        </w:tc>
        <w:tc>
          <w:tcPr>
            <w:tcW w:w="1320" w:type="dxa"/>
            <w:vAlign w:val="bottom"/>
            <w:tcBorders>
              <w:right w:val="single" w:sz="8" w:color="auto"/>
            </w:tcBorders>
            <w:shd w:val="clear" w:color="auto" w:fill="CCEEFF"/>
          </w:tcPr>
          <w:p>
            <w:pPr>
              <w:spacing w:after="0"/>
              <w:rPr>
                <w:sz w:val="21"/>
                <w:szCs w:val="21"/>
                <w:color w:val="auto"/>
              </w:rPr>
            </w:pPr>
          </w:p>
        </w:tc>
        <w:tc>
          <w:tcPr>
            <w:tcW w:w="1560" w:type="dxa"/>
            <w:vAlign w:val="bottom"/>
            <w:tcBorders>
              <w:right w:val="single" w:sz="8" w:color="auto"/>
            </w:tcBorders>
            <w:shd w:val="clear" w:color="auto" w:fill="CCEEFF"/>
          </w:tcPr>
          <w:p>
            <w:pPr>
              <w:spacing w:after="0"/>
              <w:rPr>
                <w:sz w:val="21"/>
                <w:szCs w:val="21"/>
                <w:color w:val="auto"/>
              </w:rPr>
            </w:pPr>
          </w:p>
        </w:tc>
        <w:tc>
          <w:tcPr>
            <w:tcW w:w="1280" w:type="dxa"/>
            <w:vAlign w:val="bottom"/>
            <w:tcBorders>
              <w:right w:val="single" w:sz="8" w:color="auto"/>
            </w:tcBorders>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issuable pursuant to the</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4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Registrant’s 2021 Incentive</w:t>
            </w:r>
          </w:p>
        </w:tc>
        <w:tc>
          <w:tcPr>
            <w:tcW w:w="1240" w:type="dxa"/>
            <w:vAlign w:val="bottom"/>
            <w:tcBorders>
              <w:right w:val="single" w:sz="8" w:color="auto"/>
            </w:tcBorders>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1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Award Plan</w:t>
            </w: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Equity</w:t>
            </w:r>
          </w:p>
        </w:tc>
        <w:tc>
          <w:tcPr>
            <w:tcW w:w="196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Class A common Stock, par</w:t>
            </w:r>
          </w:p>
        </w:tc>
        <w:tc>
          <w:tcPr>
            <w:tcW w:w="12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Rule 457(c)</w:t>
            </w:r>
          </w:p>
        </w:tc>
        <w:tc>
          <w:tcPr>
            <w:tcW w:w="146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399,709</w:t>
            </w:r>
          </w:p>
        </w:tc>
        <w:tc>
          <w:tcPr>
            <w:tcW w:w="132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$4.08</w:t>
            </w:r>
          </w:p>
        </w:tc>
        <w:tc>
          <w:tcPr>
            <w:tcW w:w="156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$1,630,812.72</w:t>
            </w:r>
          </w:p>
        </w:tc>
        <w:tc>
          <w:tcPr>
            <w:tcW w:w="128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0.0001381</w:t>
            </w: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$225.22</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value $0.01 per share,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and Rule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2"/>
              </w:rPr>
              <w:t>shares</w:t>
            </w:r>
            <w:r>
              <w:rPr>
                <w:rFonts w:ascii="Times New Roman" w:cs="Times New Roman" w:eastAsia="Times New Roman" w:hAnsi="Times New Roman"/>
                <w:sz w:val="21"/>
                <w:szCs w:val="21"/>
                <w:color w:val="auto"/>
                <w:w w:val="92"/>
                <w:vertAlign w:val="superscript"/>
              </w:rPr>
              <w:t>(4)</w:t>
            </w:r>
          </w:p>
        </w:tc>
        <w:tc>
          <w:tcPr>
            <w:tcW w:w="13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issuable pursuant to the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4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Registrant’s 2021 Employee</w:t>
            </w:r>
          </w:p>
        </w:tc>
        <w:tc>
          <w:tcPr>
            <w:tcW w:w="12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Purchase Plan</w:t>
            </w:r>
          </w:p>
        </w:tc>
        <w:tc>
          <w:tcPr>
            <w:tcW w:w="12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Equity</w:t>
            </w:r>
          </w:p>
        </w:tc>
        <w:tc>
          <w:tcPr>
            <w:tcW w:w="196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Class A common Stock, par</w:t>
            </w:r>
          </w:p>
        </w:tc>
        <w:tc>
          <w:tcPr>
            <w:tcW w:w="124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Rule 457(c)</w:t>
            </w:r>
          </w:p>
        </w:tc>
        <w:tc>
          <w:tcPr>
            <w:tcW w:w="146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1,692,987</w:t>
            </w:r>
          </w:p>
        </w:tc>
        <w:tc>
          <w:tcPr>
            <w:tcW w:w="132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$4.08</w:t>
            </w:r>
          </w:p>
        </w:tc>
        <w:tc>
          <w:tcPr>
            <w:tcW w:w="156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$6,907,386.96</w:t>
            </w:r>
          </w:p>
        </w:tc>
        <w:tc>
          <w:tcPr>
            <w:tcW w:w="128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0.0001381</w:t>
            </w:r>
          </w:p>
        </w:tc>
        <w:tc>
          <w:tcPr>
            <w:tcW w:w="14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$953.91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20" w:type="dxa"/>
            <w:vAlign w:val="bottom"/>
            <w:tcBorders>
              <w:right w:val="single" w:sz="8" w:color="auto"/>
            </w:tcBorders>
            <w:shd w:val="clear" w:color="auto" w:fill="CCEEFF"/>
          </w:tcPr>
          <w:p>
            <w:pPr>
              <w:spacing w:after="0"/>
              <w:rPr>
                <w:sz w:val="21"/>
                <w:szCs w:val="21"/>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value $0.01 per share,</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and Rule</w:t>
            </w:r>
          </w:p>
        </w:tc>
        <w:tc>
          <w:tcPr>
            <w:tcW w:w="14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shares</w:t>
            </w:r>
            <w:r>
              <w:rPr>
                <w:rFonts w:ascii="Times New Roman" w:cs="Times New Roman" w:eastAsia="Times New Roman" w:hAnsi="Times New Roman"/>
                <w:sz w:val="21"/>
                <w:szCs w:val="21"/>
                <w:color w:val="auto"/>
                <w:w w:val="92"/>
                <w:vertAlign w:val="superscript"/>
              </w:rPr>
              <w:t>(5)</w:t>
            </w:r>
          </w:p>
        </w:tc>
        <w:tc>
          <w:tcPr>
            <w:tcW w:w="1320" w:type="dxa"/>
            <w:vAlign w:val="bottom"/>
            <w:tcBorders>
              <w:right w:val="single" w:sz="8" w:color="auto"/>
            </w:tcBorders>
            <w:shd w:val="clear" w:color="auto" w:fill="CCEEFF"/>
          </w:tcPr>
          <w:p>
            <w:pPr>
              <w:spacing w:after="0"/>
              <w:rPr>
                <w:sz w:val="21"/>
                <w:szCs w:val="21"/>
                <w:color w:val="auto"/>
              </w:rPr>
            </w:pPr>
          </w:p>
        </w:tc>
        <w:tc>
          <w:tcPr>
            <w:tcW w:w="1560" w:type="dxa"/>
            <w:vAlign w:val="bottom"/>
            <w:tcBorders>
              <w:right w:val="single" w:sz="8" w:color="auto"/>
            </w:tcBorders>
            <w:shd w:val="clear" w:color="auto" w:fill="CCEEFF"/>
          </w:tcPr>
          <w:p>
            <w:pPr>
              <w:spacing w:after="0"/>
              <w:rPr>
                <w:sz w:val="21"/>
                <w:szCs w:val="21"/>
                <w:color w:val="auto"/>
              </w:rPr>
            </w:pPr>
          </w:p>
        </w:tc>
        <w:tc>
          <w:tcPr>
            <w:tcW w:w="1280" w:type="dxa"/>
            <w:vAlign w:val="bottom"/>
            <w:tcBorders>
              <w:right w:val="single" w:sz="8" w:color="auto"/>
            </w:tcBorders>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issuable pursuant to the</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4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Registrant’s 2023</w:t>
            </w:r>
          </w:p>
        </w:tc>
        <w:tc>
          <w:tcPr>
            <w:tcW w:w="1240" w:type="dxa"/>
            <w:vAlign w:val="bottom"/>
            <w:tcBorders>
              <w:right w:val="single" w:sz="8" w:color="auto"/>
            </w:tcBorders>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Inducement Plan, as</w:t>
            </w:r>
          </w:p>
        </w:tc>
        <w:tc>
          <w:tcPr>
            <w:tcW w:w="1240" w:type="dxa"/>
            <w:vAlign w:val="bottom"/>
            <w:tcBorders>
              <w:right w:val="single" w:sz="8" w:color="auto"/>
            </w:tcBorders>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56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1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amended</w:t>
            </w:r>
          </w:p>
        </w:tc>
        <w:tc>
          <w:tcPr>
            <w:tcW w:w="1240" w:type="dxa"/>
            <w:vAlign w:val="bottom"/>
            <w:tcBorders>
              <w:bottom w:val="single" w:sz="8" w:color="CCEEFF"/>
              <w:right w:val="single" w:sz="8" w:color="auto"/>
            </w:tcBorders>
            <w:shd w:val="clear" w:color="auto" w:fill="CCEEFF"/>
          </w:tcPr>
          <w:p>
            <w:pPr>
              <w:spacing w:after="0"/>
              <w:rPr>
                <w:sz w:val="19"/>
                <w:szCs w:val="19"/>
                <w:color w:val="auto"/>
              </w:rPr>
            </w:pPr>
          </w:p>
        </w:tc>
        <w:tc>
          <w:tcPr>
            <w:tcW w:w="1460" w:type="dxa"/>
            <w:vAlign w:val="bottom"/>
            <w:tcBorders>
              <w:bottom w:val="single" w:sz="8" w:color="CCEEFF"/>
              <w:right w:val="single" w:sz="8" w:color="auto"/>
            </w:tcBorders>
            <w:shd w:val="clear" w:color="auto" w:fill="CCEEFF"/>
          </w:tcPr>
          <w:p>
            <w:pPr>
              <w:spacing w:after="0"/>
              <w:rPr>
                <w:sz w:val="19"/>
                <w:szCs w:val="19"/>
                <w:color w:val="auto"/>
              </w:rPr>
            </w:pPr>
          </w:p>
        </w:tc>
        <w:tc>
          <w:tcPr>
            <w:tcW w:w="1320" w:type="dxa"/>
            <w:vAlign w:val="bottom"/>
            <w:tcBorders>
              <w:bottom w:val="single" w:sz="8" w:color="CCEEFF"/>
              <w:right w:val="single" w:sz="8" w:color="auto"/>
            </w:tcBorders>
            <w:shd w:val="clear" w:color="auto" w:fill="CCEEFF"/>
          </w:tcPr>
          <w:p>
            <w:pPr>
              <w:spacing w:after="0"/>
              <w:rPr>
                <w:sz w:val="19"/>
                <w:szCs w:val="19"/>
                <w:color w:val="auto"/>
              </w:rPr>
            </w:pPr>
          </w:p>
        </w:tc>
        <w:tc>
          <w:tcPr>
            <w:tcW w:w="1560" w:type="dxa"/>
            <w:vAlign w:val="bottom"/>
            <w:tcBorders>
              <w:bottom w:val="single" w:sz="8" w:color="CCEEFF"/>
              <w:right w:val="single" w:sz="8" w:color="auto"/>
            </w:tcBorders>
            <w:shd w:val="clear" w:color="auto" w:fill="CCEEFF"/>
          </w:tcPr>
          <w:p>
            <w:pPr>
              <w:spacing w:after="0"/>
              <w:rPr>
                <w:sz w:val="19"/>
                <w:szCs w:val="19"/>
                <w:color w:val="auto"/>
              </w:rPr>
            </w:pPr>
          </w:p>
        </w:tc>
        <w:tc>
          <w:tcPr>
            <w:tcW w:w="1280" w:type="dxa"/>
            <w:vAlign w:val="bottom"/>
            <w:tcBorders>
              <w:bottom w:val="single" w:sz="8" w:color="CCEEFF"/>
              <w:right w:val="single" w:sz="8" w:color="auto"/>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37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$18,831,321.60</w:t>
            </w:r>
          </w:p>
        </w:tc>
        <w:tc>
          <w:tcPr>
            <w:tcW w:w="204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$2,600.61</w:t>
            </w:r>
          </w:p>
        </w:tc>
      </w:tr>
      <w:tr>
        <w:trPr>
          <w:trHeight w:val="33"/>
        </w:trPr>
        <w:tc>
          <w:tcPr>
            <w:tcW w:w="53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3760" w:type="dxa"/>
            <w:vAlign w:val="bottom"/>
          </w:tcPr>
          <w:p>
            <w:pPr>
              <w:spacing w:after="0"/>
              <w:rPr>
                <w:sz w:val="18"/>
                <w:szCs w:val="18"/>
                <w:color w:val="auto"/>
              </w:rPr>
            </w:pPr>
          </w:p>
        </w:tc>
        <w:tc>
          <w:tcPr>
            <w:tcW w:w="204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r>
      <w:tr>
        <w:trPr>
          <w:trHeight w:val="33"/>
        </w:trPr>
        <w:tc>
          <w:tcPr>
            <w:tcW w:w="53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3760" w:type="dxa"/>
            <w:vAlign w:val="bottom"/>
          </w:tcPr>
          <w:p>
            <w:pPr>
              <w:spacing w:after="0"/>
              <w:rPr>
                <w:sz w:val="18"/>
                <w:szCs w:val="18"/>
                <w:color w:val="auto"/>
              </w:rPr>
            </w:pPr>
          </w:p>
        </w:tc>
        <w:tc>
          <w:tcPr>
            <w:tcW w:w="204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$2,600.61</w:t>
            </w:r>
          </w:p>
        </w:tc>
      </w:tr>
    </w:tbl>
    <w:p>
      <w:pPr>
        <w:spacing w:after="0" w:line="200" w:lineRule="exact"/>
        <w:rPr>
          <w:sz w:val="20"/>
          <w:szCs w:val="20"/>
          <w:color w:val="auto"/>
        </w:rPr>
      </w:pPr>
    </w:p>
    <w:p>
      <w:pPr>
        <w:spacing w:after="0" w:line="400" w:lineRule="exact"/>
        <w:rPr>
          <w:sz w:val="20"/>
          <w:szCs w:val="20"/>
          <w:color w:val="auto"/>
        </w:rPr>
      </w:pPr>
    </w:p>
    <w:p>
      <w:pPr>
        <w:ind w:left="340" w:hanging="332"/>
        <w:spacing w:after="0" w:line="246" w:lineRule="auto"/>
        <w:tabs>
          <w:tab w:leader="none" w:pos="25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and Rule 416(b) under the Securities Act of 1933, as amended (the “Securities Act”), this Registration Statement shall also cover additional shares of the Registrant’s Class A common stock, par value $0.01 per share (the “Common Stock”), which become issuable under the Registrant’s 2021 Incentive Award Plan (the “2021 Plan”), 2021 Employee Stock Purchase Plan (the “ESPP”), and 2023 Inducement Plan, as amended (the “Inducement Plan”) by reason of any stock split, stock dividend, recapitalization, or other similar transaction.</w:t>
      </w:r>
    </w:p>
    <w:p>
      <w:pPr>
        <w:spacing w:after="0" w:line="204" w:lineRule="exact"/>
        <w:rPr>
          <w:rFonts w:ascii="Times New Roman" w:cs="Times New Roman" w:eastAsia="Times New Roman" w:hAnsi="Times New Roman"/>
          <w:sz w:val="16"/>
          <w:szCs w:val="16"/>
          <w:color w:val="auto"/>
        </w:rPr>
      </w:pPr>
    </w:p>
    <w:p>
      <w:pPr>
        <w:ind w:left="340" w:hanging="332"/>
        <w:spacing w:after="0" w:line="280" w:lineRule="auto"/>
        <w:tabs>
          <w:tab w:leader="none" w:pos="24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computing the registration fee and based on the average high and low sale prices of the Common Stock as reported on the Nasdaq Capital Market on March 10, 2026 in accordance with Rule 457(c) and (h) under the Securities Act.</w:t>
      </w:r>
    </w:p>
    <w:p>
      <w:pPr>
        <w:spacing w:after="0" w:line="178" w:lineRule="exact"/>
        <w:rPr>
          <w:rFonts w:ascii="Times New Roman" w:cs="Times New Roman" w:eastAsia="Times New Roman" w:hAnsi="Times New Roman"/>
          <w:sz w:val="16"/>
          <w:szCs w:val="16"/>
          <w:color w:val="auto"/>
        </w:rPr>
      </w:pPr>
    </w:p>
    <w:p>
      <w:pPr>
        <w:ind w:left="340" w:right="120" w:hanging="332"/>
        <w:spacing w:after="0" w:line="254" w:lineRule="auto"/>
        <w:tabs>
          <w:tab w:leader="none" w:pos="24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1,998,547 shares representing an automatic increase to the number of shares of Common Stock available for issuance under the 2021 Plan, in accordance with the automatic annual increase provision therein, which was effective as of January 1, 2026, and (ii) 524,277 shares of Common Stock underlying restricted stock units previously granted under the 2021 Plan and subsequently forfeited, which are being re-registered on this Registration Statement.</w:t>
      </w:r>
    </w:p>
    <w:p>
      <w:pPr>
        <w:spacing w:after="0" w:line="212" w:lineRule="exact"/>
        <w:rPr>
          <w:rFonts w:ascii="Times New Roman" w:cs="Times New Roman" w:eastAsia="Times New Roman" w:hAnsi="Times New Roman"/>
          <w:sz w:val="16"/>
          <w:szCs w:val="16"/>
          <w:color w:val="auto"/>
        </w:rPr>
      </w:pPr>
    </w:p>
    <w:p>
      <w:pPr>
        <w:ind w:left="340" w:hanging="332"/>
        <w:spacing w:after="0" w:line="263" w:lineRule="auto"/>
        <w:tabs>
          <w:tab w:leader="none" w:pos="24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399,709 shares representing an automatic increase to the number of shares of Common Stock available for issuance under the ESPP, in accordance with the automatic annual increase provision therein, which was effective as of January 1, 2026.</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right="40" w:hanging="332"/>
        <w:spacing w:after="0" w:line="242" w:lineRule="auto"/>
        <w:tabs>
          <w:tab w:leader="none" w:pos="24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442,987 shares representing an increase to the number of shares of Common Stock reserved and available for issuance under the Inducement Plan, pursuant to the Third Amendment to the Inducement Plan adopted by the Registrant’s Compensation Committee of the Registrant's Board of Directors on May 22, 2025, (ii) 1,000,000 shares representing an increase to the number of shares of Common Stock reserved and available for issuance under the Inducement Plan, pursuant to the Fourth Amendment to the Inducement Plan adopted by the Registrant’s Compensation Committee of the Registrant's Board of Directors on January 29, 2026,and (ii) 250,000 shares of Common Stock underlying restricted stock units previously granted under the Inducement Plan and subsequently forfeited, which are being re-registered on this Registration Statement.</w:t>
      </w:r>
    </w:p>
    <w:p>
      <w:pPr>
        <w:sectPr>
          <w:pgSz w:w="11900" w:h="16838" w:orient="portrait"/>
          <w:cols w:equalWidth="0" w:num="1">
            <w:col w:w="11240"/>
          </w:cols>
          <w:pgMar w:left="320" w:top="104" w:right="339" w:bottom="1440" w:gutter="0" w:footer="0" w:header="0"/>
        </w:sectPr>
      </w:pPr>
    </w:p>
    <w:bookmarkStart w:id="10" w:name="page11"/>
    <w:bookmarkEnd w:id="10"/>
    <w:p>
      <w:pPr>
        <w:ind w:left="9260"/>
        <w:spacing w:after="0"/>
        <w:rPr>
          <w:sz w:val="20"/>
          <w:szCs w:val="20"/>
          <w:color w:val="auto"/>
        </w:rPr>
      </w:pPr>
      <w:r>
        <w:rPr>
          <w:rFonts w:ascii="Arial" w:cs="Arial" w:eastAsia="Arial" w:hAnsi="Arial"/>
          <w:sz w:val="14"/>
          <w:szCs w:val="14"/>
          <w:color w:val="848A8E"/>
        </w:rPr>
        <w:t>Goodwin Procter LLP</w:t>
      </w:r>
    </w:p>
    <w:p>
      <w:pPr>
        <w:ind w:left="9260"/>
        <w:spacing w:after="0" w:line="203" w:lineRule="auto"/>
        <w:rPr>
          <w:sz w:val="20"/>
          <w:szCs w:val="20"/>
          <w:color w:val="auto"/>
        </w:rPr>
      </w:pPr>
      <w:r>
        <w:rPr>
          <w:rFonts w:ascii="Arial" w:cs="Arial" w:eastAsia="Arial" w:hAnsi="Arial"/>
          <w:sz w:val="14"/>
          <w:szCs w:val="14"/>
          <w:color w:val="848A8E"/>
        </w:rPr>
        <w:t>620 Eighth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70561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4"/>
          <w:szCs w:val="14"/>
          <w:color w:val="848A8E"/>
        </w:rPr>
        <w:t>New York, NY 10018</w:t>
      </w:r>
    </w:p>
    <w:p>
      <w:pPr>
        <w:spacing w:after="0" w:line="190" w:lineRule="exact"/>
        <w:rPr>
          <w:sz w:val="20"/>
          <w:szCs w:val="20"/>
          <w:color w:val="auto"/>
        </w:rPr>
      </w:pPr>
    </w:p>
    <w:p>
      <w:pPr>
        <w:ind w:left="9260"/>
        <w:spacing w:after="0"/>
        <w:rPr>
          <w:sz w:val="20"/>
          <w:szCs w:val="20"/>
          <w:color w:val="auto"/>
        </w:rPr>
      </w:pPr>
      <w:r>
        <w:rPr>
          <w:rFonts w:ascii="Arial" w:cs="Arial" w:eastAsia="Arial" w:hAnsi="Arial"/>
          <w:sz w:val="14"/>
          <w:szCs w:val="14"/>
          <w:color w:val="848A8E"/>
        </w:rPr>
        <w:t>goodwinlaw.com</w:t>
      </w:r>
    </w:p>
    <w:p>
      <w:pPr>
        <w:spacing w:after="0" w:line="2" w:lineRule="exact"/>
        <w:rPr>
          <w:sz w:val="20"/>
          <w:szCs w:val="20"/>
          <w:color w:val="auto"/>
        </w:rPr>
      </w:pPr>
    </w:p>
    <w:p>
      <w:pPr>
        <w:ind w:left="9260"/>
        <w:spacing w:after="0"/>
        <w:rPr>
          <w:sz w:val="20"/>
          <w:szCs w:val="20"/>
          <w:color w:val="auto"/>
        </w:rPr>
      </w:pPr>
      <w:r>
        <w:rPr>
          <w:rFonts w:ascii="Arial" w:cs="Arial" w:eastAsia="Arial" w:hAnsi="Arial"/>
          <w:sz w:val="14"/>
          <w:szCs w:val="14"/>
          <w:color w:val="848A8E"/>
        </w:rPr>
        <w:t>+1 212 813 8800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March 12, 2026</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Rapid Micro Biosystems, Inc.</w:t>
      </w:r>
    </w:p>
    <w:p>
      <w:pPr>
        <w:spacing w:after="0" w:line="211" w:lineRule="auto"/>
        <w:rPr>
          <w:sz w:val="20"/>
          <w:szCs w:val="20"/>
          <w:color w:val="auto"/>
        </w:rPr>
      </w:pPr>
      <w:r>
        <w:rPr>
          <w:rFonts w:ascii="Times New Roman" w:cs="Times New Roman" w:eastAsia="Times New Roman" w:hAnsi="Times New Roman"/>
          <w:sz w:val="20"/>
          <w:szCs w:val="20"/>
          <w:color w:val="auto"/>
        </w:rPr>
        <w:t>25 Hartwell Avenue</w:t>
      </w:r>
    </w:p>
    <w:p>
      <w:pPr>
        <w:spacing w:after="0"/>
        <w:rPr>
          <w:sz w:val="20"/>
          <w:szCs w:val="20"/>
          <w:color w:val="auto"/>
        </w:rPr>
      </w:pPr>
      <w:r>
        <w:rPr>
          <w:rFonts w:ascii="Times New Roman" w:cs="Times New Roman" w:eastAsia="Times New Roman" w:hAnsi="Times New Roman"/>
          <w:sz w:val="20"/>
          <w:szCs w:val="20"/>
          <w:color w:val="auto"/>
        </w:rPr>
        <w:t>Lexington, MA 02421</w:t>
      </w:r>
    </w:p>
    <w:p>
      <w:pPr>
        <w:spacing w:after="0" w:line="19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Securities Being Registered under Registration Statement on Form S-8</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We have acted as your counsel in connection with your filing of a Registration Statement on Form S-8 (the “Registration Statement”) pursuant to the Securities Act of 1933, as amended (the “Securities Act”), on or about the date hereof relating to an aggregate of 4,615,520 shares (the “Shares”) of Class A Common Stock, par value $0.01 per share (“Common Stock”), of Rapid Micro Biosystems, Inc., a Delaware corporation (the “Company”), that may be issued pursuant to the Company’s 2021 Incentive Award Plan, 2021 Employee Stock Purchase Plan and 2023 Inducement Plan, as amended (collectively, the “Plans”).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 set forth below is limited to the Delaware General Corporation Law.</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21"/>
          <w:szCs w:val="21"/>
          <w:i w:val="1"/>
          <w:iCs w:val="1"/>
          <w:color w:val="auto"/>
        </w:rPr>
        <w:t xml:space="preserve">Business Lawyer </w:t>
      </w:r>
      <w:r>
        <w:rPr>
          <w:rFonts w:ascii="Times New Roman" w:cs="Times New Roman" w:eastAsia="Times New Roman" w:hAnsi="Times New Roman"/>
          <w:sz w:val="19"/>
          <w:szCs w:val="19"/>
          <w:color w:val="auto"/>
        </w:rPr>
        <w:t>815 (Summer 2019).</w:t>
      </w:r>
    </w:p>
    <w:p>
      <w:pPr>
        <w:spacing w:after="0" w:line="187"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9"/>
          <w:szCs w:val="19"/>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Goodwin Procter LLP</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GOODWIN PROCTER LLP</w:t>
      </w:r>
    </w:p>
    <w:p>
      <w:pPr>
        <w:sectPr>
          <w:pgSz w:w="11900" w:h="16838" w:orient="portrait"/>
          <w:cols w:equalWidth="0" w:num="1">
            <w:col w:w="11240"/>
          </w:cols>
          <w:pgMar w:left="320" w:top="171" w:right="339" w:bottom="1440" w:gutter="0" w:footer="0" w:header="0"/>
        </w:sectPr>
      </w:pPr>
    </w:p>
    <w:bookmarkStart w:id="11" w:name="page12"/>
    <w:bookmarkEnd w:id="11"/>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389" w:lineRule="exact"/>
        <w:rPr>
          <w:sz w:val="20"/>
          <w:szCs w:val="20"/>
          <w:color w:val="auto"/>
        </w:rPr>
      </w:pPr>
    </w:p>
    <w:p>
      <w:pPr>
        <w:spacing w:after="0"/>
        <w:rPr>
          <w:sz w:val="20"/>
          <w:szCs w:val="20"/>
          <w:color w:val="auto"/>
        </w:rPr>
      </w:pPr>
      <w:r>
        <w:rPr>
          <w:rFonts w:ascii="Georgia" w:cs="Georgia" w:eastAsia="Georgia" w:hAnsi="Georgia"/>
          <w:sz w:val="18"/>
          <w:szCs w:val="18"/>
          <w:color w:val="auto"/>
        </w:rPr>
        <w:t>We hereby consent to the incorporation by reference in this Registration Statement on Form S-8 of Rapid Micro Biosystems, Inc. of our</w:t>
      </w:r>
    </w:p>
    <w:p>
      <w:pPr>
        <w:spacing w:after="0" w:line="222" w:lineRule="auto"/>
        <w:rPr>
          <w:sz w:val="20"/>
          <w:szCs w:val="20"/>
          <w:color w:val="auto"/>
        </w:rPr>
      </w:pPr>
      <w:r>
        <w:rPr>
          <w:rFonts w:ascii="Georgia" w:cs="Georgia" w:eastAsia="Georgia" w:hAnsi="Georgia"/>
          <w:sz w:val="18"/>
          <w:szCs w:val="18"/>
          <w:color w:val="auto"/>
        </w:rPr>
        <w:t>report dated March 12, 2026 relating to the financial statements, which appears in Rapid Micro Biosystems, Inc.'s Annual Report on Form 10-K for the year ended December 31, 2025.</w:t>
      </w:r>
    </w:p>
    <w:p>
      <w:pPr>
        <w:spacing w:after="0" w:line="18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12, 2026</w:t>
      </w:r>
    </w:p>
    <w:sectPr>
      <w:pgSz w:w="11900" w:h="16838" w:orient="portrait"/>
      <w:cols w:equalWidth="0" w:num="1">
        <w:col w:w="10940"/>
      </w:cols>
      <w:pgMar w:left="32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3D1B58BA"/>
    <w:multiLevelType w:val="hybridMultilevel"/>
    <w:lvl w:ilvl="0">
      <w:lvlJc w:val="left"/>
      <w:lvlText w:val="(%1)"/>
      <w:numFmt w:val="lowerRoman"/>
      <w:start w:val="3"/>
    </w:lvl>
  </w:abstractNum>
  <w:abstractNum w:abstractNumId="3">
    <w:nsid w:val="507ED7AB"/>
    <w:multiLevelType w:val="hybridMultilevel"/>
    <w:lvl w:ilvl="0">
      <w:lvlJc w:val="left"/>
      <w:lvlText w:val="%1"/>
      <w:numFmt w:val="lowerLetter"/>
      <w:start w:val="1"/>
    </w:lvl>
    <w:lvl w:ilvl="1">
      <w:lvlJc w:val="left"/>
      <w:lvlText w:val="(%2)"/>
      <w:numFmt w:val="decimal"/>
      <w:start w:val="2"/>
    </w:lvl>
  </w:abstractNum>
  <w:abstractNum w:abstractNumId="4">
    <w:nsid w:val="2EB141F2"/>
    <w:multiLevelType w:val="hybridMultilevel"/>
    <w:lvl w:ilvl="0">
      <w:lvlJc w:val="left"/>
      <w:lvlText w:val="(%1)"/>
      <w:numFmt w:val="lowerLetter"/>
      <w:start w:val="2"/>
    </w:lvl>
    <w:lvl w:ilvl="1">
      <w:lvlJc w:val="left"/>
      <w:lvlText w:val="%2"/>
      <w:numFmt w:val="decimal"/>
      <w:start w:val="1"/>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17" Type="http://schemas.openxmlformats.org/officeDocument/2006/relationships/hyperlink" Target="https://www.sec.gov/Archives/edgar/data/1380106/000110465921093128/tm2122251d1_s8.htm" TargetMode="External"/><Relationship Id="rId18" Type="http://schemas.openxmlformats.org/officeDocument/2006/relationships/hyperlink" Target="https://www.sec.gov/Archives/edgar/data/1380106/000138010623000064/rpid_s-8xq1x2023xind.htm" TargetMode="External"/><Relationship Id="rId19" Type="http://schemas.openxmlformats.org/officeDocument/2006/relationships/hyperlink" Target="https://www.sec.gov/Archives/edgar/data/1380106/000138010625000061/rpid_s-8xq1x2025.htm" TargetMode="External"/><Relationship Id="rId20" Type="http://schemas.openxmlformats.org/officeDocument/2006/relationships/hyperlink" Target="https://www.sec.gov/Archives/edgar/data/1380106/000138010626000034/ex1023_2023inducementplan4.htm" TargetMode="External"/><Relationship Id="rId21" Type="http://schemas.openxmlformats.org/officeDocument/2006/relationships/hyperlink" Target="https://www.sec.gov/Archives/edgar/data/1380106/000110465921090832/tm219739d13_8a12b.htm" TargetMode="External"/><Relationship Id="rId22" Type="http://schemas.openxmlformats.org/officeDocument/2006/relationships/hyperlink" Target="https://www.sec.gov/Archives/edgar/data/1380106/000138010625000058/ex31_restatedcertificateof.htm" TargetMode="External"/><Relationship Id="rId23" Type="http://schemas.openxmlformats.org/officeDocument/2006/relationships/hyperlink" Target="https://www.sec.gov/Archives/edgar/data/1380106/000110465921094046/tm219739d19_ex3-2.htm" TargetMode="External"/><Relationship Id="rId24" Type="http://schemas.openxmlformats.org/officeDocument/2006/relationships/hyperlink" Target="https://www.sec.gov/Archives/edgar/data/1380106/000110465921090822/tm219739d12_ex10-2.htm" TargetMode="External"/><Relationship Id="rId25" Type="http://schemas.openxmlformats.org/officeDocument/2006/relationships/hyperlink" Target="https://www.sec.gov/Archives/edgar/data/1380106/000110465921090822/tm219739d12_ex10-3.htm" TargetMode="External"/><Relationship Id="rId26" Type="http://schemas.openxmlformats.org/officeDocument/2006/relationships/hyperlink" Target="https://www.sec.gov/Archives/edgar/data/1380106/000138010623000064/rpid-2023inducementplan_or.htm" TargetMode="External"/><Relationship Id="rId27" Type="http://schemas.openxmlformats.org/officeDocument/2006/relationships/hyperlink" Target="https://www.sec.gov/Archives/edgar/data/1380106/000138010624000075/ex994_2023inducementplanam.htm" TargetMode="External"/><Relationship Id="rId28" Type="http://schemas.openxmlformats.org/officeDocument/2006/relationships/hyperlink" Target="https://www.sec.gov/Archives/edgar/data/1380106/000138010625000058/ex1021_2023inducementplans.htm" TargetMode="External"/><Relationship Id="rId29" Type="http://schemas.openxmlformats.org/officeDocument/2006/relationships/hyperlink" Target="https://www.sec.gov/Archives/edgar/data/1380106/000138010625000174/rpid_rpid-20250630xexx10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2026-03-12T16:34:42Z</dcterms:created>
  <dcterms:modified xsi:type="dcterms:W3CDTF">2026-03-12T16:34:42Z</dcterms:modified>
</cp:coreProperties>
</file>