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5372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372100"/>
                    </a:xfrm>
                    <a:prstGeom prst="rect">
                      <a:avLst/>
                    </a:prstGeom>
                    <a:noFill/>
                  </pic:spPr>
                </pic:pic>
              </a:graphicData>
            </a:graphic>
          </wp:anchor>
        </w:drawing>
      </w:r>
    </w:p>
    <w:p>
      <w:pPr>
        <w:spacing w:after="0" w:line="1228"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WIRTJES SEAN M</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RAPID MICRO BIOSYSTEMS,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HARTWELL AVENUE</w:t>
      </w:r>
    </w:p>
    <w:p>
      <w:pPr>
        <w:spacing w:after="0" w:line="279"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02421</w:t>
            </w:r>
          </w:p>
        </w:tc>
      </w:tr>
      <w:tr>
        <w:trPr>
          <w:trHeight w:val="148"/>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2"/>
          </w:tcPr>
          <w:p>
            <w:pPr>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RAPID MICRO BIOSYSTEMS, INC. </w:t>
              </w:r>
            </w:hyperlink>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318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RPID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0" w:type="dxa"/>
            <w:vAlign w:val="bottom"/>
            <w:tcBorders>
              <w:bottom w:val="single" w:sz="8" w:color="2C2C2C"/>
            </w:tcBorders>
          </w:tcPr>
          <w:p>
            <w:pPr>
              <w:spacing w:after="0"/>
              <w:rPr>
                <w:sz w:val="14"/>
                <w:szCs w:val="14"/>
                <w:color w:val="auto"/>
              </w:rPr>
            </w:pPr>
          </w:p>
        </w:tc>
        <w:tc>
          <w:tcPr>
            <w:tcW w:w="3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580"/>
              <w:spacing w:after="0" w:line="180" w:lineRule="exact"/>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7"/>
        </w:trPr>
        <w:tc>
          <w:tcPr>
            <w:tcW w:w="3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05/29/2026</w:t>
            </w:r>
          </w:p>
        </w:tc>
        <w:tc>
          <w:tcPr>
            <w:tcW w:w="5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0" w:type="dxa"/>
            <w:vAlign w:val="bottom"/>
            <w:tcBorders>
              <w:bottom w:val="single" w:sz="8" w:color="2C2C2C"/>
            </w:tcBorders>
          </w:tcPr>
          <w:p>
            <w:pPr>
              <w:spacing w:after="0"/>
              <w:rPr>
                <w:sz w:val="15"/>
                <w:szCs w:val="15"/>
                <w:color w:val="auto"/>
              </w:rPr>
            </w:pPr>
          </w:p>
        </w:tc>
        <w:tc>
          <w:tcPr>
            <w:tcW w:w="31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05/29/2026</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12,787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1.955</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568,981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A</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vMerge w:val="restart"/>
          </w:tcPr>
          <w:p>
            <w:pPr>
              <w:ind w:left="100"/>
              <w:spacing w:after="0" w:line="205"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(1)</w:t>
            </w: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gridSpan w:val="2"/>
            <w:vMerge w:val="restart"/>
          </w:tcPr>
          <w:p>
            <w:pPr>
              <w:ind w:left="40"/>
              <w:spacing w:after="0" w:line="206" w:lineRule="exact"/>
              <w:rPr>
                <w:sz w:val="20"/>
                <w:szCs w:val="20"/>
                <w:color w:val="auto"/>
              </w:rPr>
            </w:pPr>
            <w:r>
              <w:rPr>
                <w:rFonts w:ascii="Times New Roman" w:cs="Times New Roman" w:eastAsia="Times New Roman" w:hAnsi="Times New Roman"/>
                <w:sz w:val="13"/>
                <w:szCs w:val="13"/>
                <w:color w:val="0000FF"/>
              </w:rPr>
              <w:t>11/29/2026</w:t>
            </w:r>
            <w:r>
              <w:rPr>
                <w:rFonts w:ascii="Times New Roman" w:cs="Times New Roman" w:eastAsia="Times New Roman" w:hAnsi="Times New Roman"/>
                <w:sz w:val="21"/>
                <w:szCs w:val="21"/>
                <w:color w:val="008000"/>
                <w:vertAlign w:val="superscript"/>
              </w:rPr>
              <w:t>(2)</w:t>
            </w: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12,787</w:t>
            </w:r>
          </w:p>
        </w:tc>
        <w:tc>
          <w:tcPr>
            <w:tcW w:w="60" w:type="dxa"/>
            <w:vAlign w:val="bottom"/>
          </w:tcPr>
          <w:p>
            <w:pPr>
              <w:spacing w:after="0"/>
              <w:rPr>
                <w:sz w:val="5"/>
                <w:szCs w:val="5"/>
                <w:color w:val="auto"/>
              </w:rPr>
            </w:pPr>
          </w:p>
        </w:tc>
        <w:tc>
          <w:tcPr>
            <w:tcW w:w="700" w:type="dxa"/>
            <w:vAlign w:val="bottom"/>
            <w:gridSpan w:val="2"/>
            <w:vMerge w:val="restart"/>
          </w:tcPr>
          <w:p>
            <w:pPr>
              <w:ind w:left="160"/>
              <w:spacing w:after="0" w:line="205" w:lineRule="exact"/>
              <w:rPr>
                <w:sz w:val="20"/>
                <w:szCs w:val="20"/>
                <w:color w:val="auto"/>
              </w:rPr>
            </w:pPr>
            <w:r>
              <w:rPr>
                <w:rFonts w:ascii="Arial" w:cs="Arial" w:eastAsia="Arial" w:hAnsi="Arial"/>
                <w:sz w:val="21"/>
                <w:szCs w:val="21"/>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(1)</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80" w:type="dxa"/>
            <w:vAlign w:val="bottom"/>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1.955</w:t>
            </w:r>
          </w:p>
        </w:tc>
        <w:tc>
          <w:tcPr>
            <w:tcW w:w="104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05/29/2026</w:t>
            </w: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12,787</w:t>
            </w:r>
          </w:p>
        </w:tc>
        <w:tc>
          <w:tcPr>
            <w:tcW w:w="3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05/29/2027</w:t>
            </w:r>
          </w:p>
        </w:tc>
        <w:tc>
          <w:tcPr>
            <w:tcW w:w="6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12,787</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vMerge w:val="restart"/>
          </w:tcPr>
          <w:p>
            <w:pPr>
              <w:ind w:left="100"/>
              <w:spacing w:after="0" w:line="205"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(1)</w:t>
            </w: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gridSpan w:val="2"/>
            <w:vMerge w:val="restart"/>
          </w:tcPr>
          <w:p>
            <w:pPr>
              <w:ind w:left="40"/>
              <w:spacing w:after="0" w:line="206" w:lineRule="exact"/>
              <w:rPr>
                <w:sz w:val="20"/>
                <w:szCs w:val="20"/>
                <w:color w:val="auto"/>
              </w:rPr>
            </w:pPr>
            <w:r>
              <w:rPr>
                <w:rFonts w:ascii="Times New Roman" w:cs="Times New Roman" w:eastAsia="Times New Roman" w:hAnsi="Times New Roman"/>
                <w:sz w:val="13"/>
                <w:szCs w:val="13"/>
                <w:color w:val="0000FF"/>
              </w:rPr>
              <w:t>11/29/2026</w:t>
            </w:r>
            <w:r>
              <w:rPr>
                <w:rFonts w:ascii="Times New Roman" w:cs="Times New Roman" w:eastAsia="Times New Roman" w:hAnsi="Times New Roman"/>
                <w:sz w:val="21"/>
                <w:szCs w:val="21"/>
                <w:color w:val="008000"/>
                <w:vertAlign w:val="superscript"/>
              </w:rPr>
              <w:t>(2)</w:t>
            </w: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12,787</w:t>
            </w:r>
          </w:p>
        </w:tc>
        <w:tc>
          <w:tcPr>
            <w:tcW w:w="60" w:type="dxa"/>
            <w:vAlign w:val="bottom"/>
          </w:tcPr>
          <w:p>
            <w:pPr>
              <w:spacing w:after="0"/>
              <w:rPr>
                <w:sz w:val="5"/>
                <w:szCs w:val="5"/>
                <w:color w:val="auto"/>
              </w:rPr>
            </w:pPr>
          </w:p>
        </w:tc>
        <w:tc>
          <w:tcPr>
            <w:tcW w:w="700" w:type="dxa"/>
            <w:vAlign w:val="bottom"/>
            <w:gridSpan w:val="2"/>
            <w:vMerge w:val="restart"/>
          </w:tcPr>
          <w:p>
            <w:pPr>
              <w:ind w:left="160"/>
              <w:spacing w:after="0" w:line="205" w:lineRule="exact"/>
              <w:rPr>
                <w:sz w:val="20"/>
                <w:szCs w:val="20"/>
                <w:color w:val="auto"/>
              </w:rPr>
            </w:pPr>
            <w:r>
              <w:rPr>
                <w:rFonts w:ascii="Arial" w:cs="Arial" w:eastAsia="Arial" w:hAnsi="Arial"/>
                <w:sz w:val="21"/>
                <w:szCs w:val="21"/>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(1)</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80" w:type="dxa"/>
            <w:vAlign w:val="bottom"/>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2.34</w:t>
            </w:r>
          </w:p>
        </w:tc>
        <w:tc>
          <w:tcPr>
            <w:tcW w:w="104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05/29/2026</w:t>
            </w: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12,787</w:t>
            </w:r>
          </w:p>
        </w:tc>
        <w:tc>
          <w:tcPr>
            <w:tcW w:w="3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05/29/2031</w:t>
            </w:r>
          </w:p>
        </w:tc>
        <w:tc>
          <w:tcPr>
            <w:tcW w:w="6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12,787</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restart"/>
          </w:tcPr>
          <w:p>
            <w:pPr>
              <w:jc w:val="center"/>
              <w:ind w:right="3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-2530475</wp:posOffset>
            </wp:positionV>
            <wp:extent cx="29210" cy="2535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355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200" w:firstLine="1"/>
        <w:spacing w:after="0" w:line="23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29, 2026, the Reporting Person purchased, in a registered direct offering, 12,787 shares of the Issuer's Class A Common Stock, as well as an accompanying Series A Warrant to purchase 12,787 shares of the Issuer's Class A Common Stock (or pre-funded warrants in lieu thereof) and an accompanying Series B Warrant to purchase 12,787 shares of the Issuer's Class A Common Stock (or pre-funded warrants in lieu thereof). The purchase price of each share of Issuer Class A Common Stock and accompanying Series A and Series B Warrant was $1.955. The issuance of such securities was approved by the Issuer's compensation committee of the board of directors in accordance with Rule 16(b)-3 of the Securities Exchange Act of 1934, as amended.</w:t>
      </w:r>
    </w:p>
    <w:p>
      <w:pPr>
        <w:spacing w:after="0" w:line="28" w:lineRule="exact"/>
        <w:rPr>
          <w:rFonts w:ascii="Times New Roman" w:cs="Times New Roman" w:eastAsia="Times New Roman" w:hAnsi="Times New Roman"/>
          <w:sz w:val="13"/>
          <w:szCs w:val="13"/>
          <w:color w:val="008000"/>
        </w:rPr>
      </w:pPr>
    </w:p>
    <w:p>
      <w:pPr>
        <w:ind w:left="40" w:right="20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Series A and Series B Warrants cannot be exercised for shares of the Issuer's Class A Common Stock if, as a result of such exercise, the holder, together with its affiliates and any other persons whose beneficial ownership would be aggregated for purposes of Section 13(d) of the Act, would beneficially own more than 4.99% of the total number of shares of the Issuer's Class A Common Stock then outstanding immediately following such exercise.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Sean M. Wirtjes</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06/02/2026</w:t>
            </w:r>
          </w:p>
        </w:tc>
      </w:tr>
      <w:tr>
        <w:trPr>
          <w:trHeight w:val="20"/>
        </w:trPr>
        <w:tc>
          <w:tcPr>
            <w:tcW w:w="12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89733" TargetMode="External"/><Relationship Id="rId14" Type="http://schemas.openxmlformats.org/officeDocument/2006/relationships/hyperlink" Target="http://www.sec.gov/cgi-bin/browse-edgar?action=getcompany&amp;CIK=00013801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2026-06-02T18:42:55Z</dcterms:created>
  <dcterms:modified xsi:type="dcterms:W3CDTF">2026-06-02T18:42:55Z</dcterms:modified>
</cp:coreProperties>
</file>