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________________ to 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Commission File Number: 001-40592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Rapid Micro Biosystems,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drawing>
          <wp:inline distT="0" distB="0" distL="0" distR="0">
            <wp:extent cx="16764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6381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w:t>
      </w:r>
    </w:p>
    <w:tbl>
      <w:tblPr>
        <w:tblW w:w="4529" w:type="dxa"/>
        <w:jc w:val="left"/>
        <w:tblInd w:w="0" w:type="dxa"/>
        <w:tblLayout w:type="fixed"/>
        <w:tblCellMar>
          <w:top w:w="28" w:type="dxa"/>
          <w:left w:w="28" w:type="dxa"/>
          <w:bottom w:w="28" w:type="dxa"/>
          <w:right w:w="28" w:type="dxa"/>
        </w:tblCellMar>
      </w:tblPr>
      <w:tblGrid>
        <w:gridCol w:w="1089"/>
        <w:gridCol w:w="960"/>
        <w:gridCol w:w="966"/>
        <w:gridCol w:w="442"/>
        <w:gridCol w:w="442"/>
        <w:gridCol w:w="630"/>
      </w:tblGrid>
      <w:tr>
        <w:trPr/>
        <w:tc>
          <w:tcPr>
            <w:tcW w:w="108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20-8121647</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25 Hartwell Avenue</w:t>
            </w:r>
          </w:p>
          <w:p>
            <w:pPr>
              <w:pStyle w:val="TableContents"/>
              <w:bidi w:val="0"/>
              <w:spacing w:lineRule="auto" w:line="288" w:before="60" w:after="283"/>
              <w:jc w:val="center"/>
              <w:rPr>
                <w:color w:val="000000"/>
              </w:rPr>
            </w:pPr>
            <w:r>
              <w:rPr>
                <w:color w:val="000000"/>
              </w:rPr>
              <w:t> </w:t>
            </w:r>
            <w:r>
              <w:rPr>
                <w:rFonts w:ascii="Times New Roman;serif" w:hAnsi="Times New Roman;serif"/>
                <w:b/>
                <w:color w:val="000000"/>
                <w:sz w:val="16"/>
              </w:rPr>
              <w:t>Lexington, MA</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514" w:type="dxa"/>
            <w:gridSpan w:val="3"/>
            <w:tcBorders/>
            <w:tcMar>
              <w:top w:w="0" w:type="dxa"/>
              <w:left w:w="0" w:type="dxa"/>
              <w:bottom w:w="0" w:type="dxa"/>
              <w:right w:w="0" w:type="dxa"/>
            </w:tcMar>
            <w:vAlign w:val="center"/>
          </w:tcPr>
          <w:p>
            <w:pPr>
              <w:pStyle w:val="TableContents"/>
              <w:bidi w:val="0"/>
              <w:spacing w:lineRule="auto" w:line="288" w:before="180" w:after="283"/>
              <w:jc w:val="center"/>
              <w:rPr>
                <w:color w:val="000000"/>
              </w:rPr>
            </w:pPr>
            <w:r>
              <w:rPr>
                <w:color w:val="000000"/>
              </w:rPr>
              <w:t> </w:t>
            </w:r>
            <w:r>
              <w:rPr>
                <w:rFonts w:ascii="Times New Roman;serif" w:hAnsi="Times New Roman;serif"/>
                <w:b/>
                <w:color w:val="000000"/>
                <w:sz w:val="16"/>
              </w:rPr>
              <w:t>02421</w:t>
            </w:r>
          </w:p>
          <w:p>
            <w:pPr>
              <w:pStyle w:val="TableContents"/>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(978) 349-3200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216" w:type="dxa"/>
        <w:jc w:val="left"/>
        <w:tblInd w:w="0" w:type="dxa"/>
        <w:tblLayout w:type="fixed"/>
        <w:tblCellMar>
          <w:top w:w="28" w:type="dxa"/>
          <w:left w:w="28" w:type="dxa"/>
          <w:bottom w:w="28" w:type="dxa"/>
          <w:right w:w="28" w:type="dxa"/>
        </w:tblCellMar>
      </w:tblPr>
      <w:tblGrid>
        <w:gridCol w:w="1412"/>
        <w:gridCol w:w="1240"/>
        <w:gridCol w:w="1247"/>
        <w:gridCol w:w="109"/>
        <w:gridCol w:w="109"/>
        <w:gridCol w:w="109"/>
        <w:gridCol w:w="509"/>
        <w:gridCol w:w="509"/>
        <w:gridCol w:w="511"/>
        <w:gridCol w:w="109"/>
        <w:gridCol w:w="109"/>
        <w:gridCol w:w="109"/>
        <w:gridCol w:w="918"/>
        <w:gridCol w:w="918"/>
        <w:gridCol w:w="1298"/>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Exchange on which registered</w:t>
            </w:r>
          </w:p>
        </w:tc>
      </w:tr>
      <w:tr>
        <w:trPr/>
        <w:tc>
          <w:tcPr>
            <w:tcW w:w="3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RPID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Capital Market</w:t>
            </w:r>
          </w:p>
        </w:tc>
      </w:tr>
    </w:tbl>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6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As of July 31, 2026, there were 45,660,027 shares of the registrant’s Class A common stock, par value $0.01, outstanding.</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July 31, 2026, there were 4,499,529 shares of the registrant’s Class B common stock, par value $0.01,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49"/>
        <w:gridCol w:w="382"/>
        <w:gridCol w:w="344"/>
        <w:gridCol w:w="2876"/>
        <w:gridCol w:w="2815"/>
        <w:gridCol w:w="2825"/>
        <w:gridCol w:w="149"/>
        <w:gridCol w:w="149"/>
        <w:gridCol w:w="216"/>
      </w:tblGrid>
      <w:tr>
        <w:trPr/>
        <w:tc>
          <w:tcPr>
            <w:tcW w:w="44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2">
              <w:r>
                <w:rPr>
                  <w:rStyle w:val="InternetLink"/>
                  <w:rFonts w:ascii="Times New Roman;serif" w:hAnsi="Times New Roman;serif"/>
                  <w:b/>
                  <w:color w:val="0000FF"/>
                  <w:sz w:val="20"/>
                  <w:u w:val="single"/>
                </w:rPr>
                <w:t>Part I</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2">
              <w:r>
                <w:rPr>
                  <w:rStyle w:val="InternetLink"/>
                  <w:rFonts w:ascii="Times New Roman;serif" w:hAnsi="Times New Roman;serif"/>
                  <w:b/>
                  <w:color w:val="0000FF"/>
                  <w:sz w:val="20"/>
                  <w:u w:val="single"/>
                </w:rPr>
                <w:t>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
              <w:r>
                <w:rPr>
                  <w:rStyle w:val="InternetLink"/>
                  <w:rFonts w:ascii="Times New Roman;serif" w:hAnsi="Times New Roman;serif"/>
                  <w:b w:val="false"/>
                  <w:color w:val="0000FF"/>
                  <w:sz w:val="20"/>
                  <w:u w:val="single"/>
                </w:rPr>
                <w:t>Item 1.</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5">
              <w:r>
                <w:rPr>
                  <w:rStyle w:val="InternetLink"/>
                  <w:rFonts w:ascii="Times New Roman;serif" w:hAnsi="Times New Roman;serif"/>
                  <w:b w:val="false"/>
                  <w:color w:val="0000FF"/>
                  <w:sz w:val="20"/>
                  <w:u w:val="single"/>
                </w:rPr>
                <w:t>7</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8">
              <w:r>
                <w:rPr>
                  <w:rStyle w:val="InternetLink"/>
                  <w:rFonts w:ascii="Times New Roman;serif" w:hAnsi="Times New Roman;serif"/>
                  <w:b w:val="false"/>
                  <w:color w:val="0000FF"/>
                  <w:sz w:val="20"/>
                  <w:u w:val="single"/>
                </w:rPr>
                <w:t>Condensed Consolidated Balance Sheets as of June 30, 2026 and December 31,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8">
              <w:r>
                <w:rPr>
                  <w:rStyle w:val="InternetLink"/>
                  <w:rFonts w:ascii="Times New Roman;serif" w:hAnsi="Times New Roman;serif"/>
                  <w:b w:val="false"/>
                  <w:color w:val="0000FF"/>
                  <w:sz w:val="20"/>
                  <w:u w:val="single"/>
                </w:rPr>
                <w:t>7</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31">
              <w:r>
                <w:rPr>
                  <w:rStyle w:val="InternetLink"/>
                  <w:rFonts w:ascii="Times New Roman;serif" w:hAnsi="Times New Roman;serif"/>
                  <w:b w:val="false"/>
                  <w:color w:val="0000FF"/>
                  <w:sz w:val="20"/>
                  <w:u w:val="single"/>
                </w:rPr>
                <w:t>Condensed Consolidated Statements of Operations for the three and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31">
              <w:r>
                <w:rPr>
                  <w:rStyle w:val="InternetLink"/>
                  <w:rFonts w:ascii="Times New Roman;serif" w:hAnsi="Times New Roman;serif"/>
                  <w:b w:val="false"/>
                  <w:color w:val="0000FF"/>
                  <w:sz w:val="20"/>
                  <w:u w:val="single"/>
                </w:rPr>
                <w:t>8</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34">
              <w:r>
                <w:rPr>
                  <w:rStyle w:val="InternetLink"/>
                  <w:rFonts w:ascii="Times New Roman;serif" w:hAnsi="Times New Roman;serif"/>
                  <w:b w:val="false"/>
                  <w:color w:val="0000FF"/>
                  <w:sz w:val="20"/>
                  <w:u w:val="single"/>
                </w:rPr>
                <w:t>Condensed Consolidated Statements of Comprehensive Loss for the three and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34">
              <w:r>
                <w:rPr>
                  <w:rStyle w:val="InternetLink"/>
                  <w:rFonts w:ascii="Times New Roman;serif" w:hAnsi="Times New Roman;serif"/>
                  <w:b w:val="false"/>
                  <w:color w:val="0000FF"/>
                  <w:sz w:val="20"/>
                  <w:u w:val="single"/>
                </w:rPr>
                <w:t>9</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37">
              <w:r>
                <w:rPr>
                  <w:rStyle w:val="InternetLink"/>
                  <w:rFonts w:ascii="Times New Roman;serif" w:hAnsi="Times New Roman;serif"/>
                  <w:b w:val="false"/>
                  <w:color w:val="0000FF"/>
                  <w:sz w:val="20"/>
                  <w:u w:val="single"/>
                </w:rPr>
                <w:t>Condensed Consolidated Statements of Stockholders’ Equity for the three and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37">
              <w:r>
                <w:rPr>
                  <w:rStyle w:val="InternetLink"/>
                  <w:rFonts w:ascii="Times New Roman;serif" w:hAnsi="Times New Roman;serif"/>
                  <w:b w:val="false"/>
                  <w:color w:val="0000FF"/>
                  <w:sz w:val="20"/>
                  <w:u w:val="single"/>
                </w:rPr>
                <w:t>10</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40">
              <w:r>
                <w:rPr>
                  <w:rStyle w:val="InternetLink"/>
                  <w:rFonts w:ascii="Times New Roman;serif" w:hAnsi="Times New Roman;serif"/>
                  <w:b w:val="false"/>
                  <w:color w:val="000080"/>
                  <w:sz w:val="20"/>
                  <w:u w:val="single"/>
                </w:rPr>
                <w:t xml:space="preserve">Condensed Consolidated Statements of Cash Flows for the </w:t>
              </w:r>
            </w:hyperlink>
            <w:hyperlink w:anchor="idca7cb1432814509a82c3a5d3f00c65d_40">
              <w:r>
                <w:rPr>
                  <w:rStyle w:val="InternetLink"/>
                  <w:rFonts w:ascii="Times New Roman;serif" w:hAnsi="Times New Roman;serif"/>
                  <w:b w:val="false"/>
                  <w:color w:val="000080"/>
                  <w:sz w:val="20"/>
                  <w:u w:val="single"/>
                </w:rPr>
                <w:t xml:space="preserve">six </w:t>
              </w:r>
            </w:hyperlink>
            <w:hyperlink w:anchor="idca7cb1432814509a82c3a5d3f00c65d_40">
              <w:r>
                <w:rPr>
                  <w:rStyle w:val="InternetLink"/>
                  <w:rFonts w:ascii="Times New Roman;serif" w:hAnsi="Times New Roman;serif"/>
                  <w:b w:val="false"/>
                  <w:color w:val="000080"/>
                  <w:sz w:val="20"/>
                  <w:u w:val="single"/>
                </w:rPr>
                <w:t xml:space="preserve">months ended </w:t>
              </w:r>
            </w:hyperlink>
            <w:hyperlink w:anchor="idca7cb1432814509a82c3a5d3f00c65d_40">
              <w:r>
                <w:rPr>
                  <w:rStyle w:val="InternetLink"/>
                  <w:rFonts w:ascii="Times New Roman;serif" w:hAnsi="Times New Roman;serif"/>
                  <w:b w:val="false"/>
                  <w:color w:val="000080"/>
                  <w:sz w:val="20"/>
                  <w:u w:val="single"/>
                </w:rPr>
                <w:t>June 30</w:t>
              </w:r>
            </w:hyperlink>
            <w:hyperlink w:anchor="idca7cb1432814509a82c3a5d3f00c65d_40">
              <w:r>
                <w:rPr>
                  <w:rStyle w:val="InternetLink"/>
                  <w:rFonts w:ascii="Times New Roman;serif" w:hAnsi="Times New Roman;serif"/>
                  <w:b w:val="false"/>
                  <w:color w:val="000080"/>
                  <w:sz w:val="20"/>
                  <w:u w:val="single"/>
                </w:rPr>
                <w:t>,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40">
              <w:r>
                <w:rPr>
                  <w:rStyle w:val="InternetLink"/>
                  <w:rFonts w:ascii="Times New Roman;serif" w:hAnsi="Times New Roman;serif"/>
                  <w:b w:val="false"/>
                  <w:color w:val="0000FF"/>
                  <w:sz w:val="20"/>
                  <w:u w:val="single"/>
                </w:rPr>
                <w:t>11</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43">
              <w:r>
                <w:rPr>
                  <w:rStyle w:val="InternetLink"/>
                  <w:rFonts w:ascii="Times New Roman;serif" w:hAnsi="Times New Roman;serif"/>
                  <w:b w:val="false"/>
                  <w:color w:val="0000FF"/>
                  <w:sz w:val="20"/>
                  <w:u w:val="singl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43">
              <w:r>
                <w:rPr>
                  <w:rStyle w:val="InternetLink"/>
                  <w:rFonts w:ascii="Times New Roman;serif" w:hAnsi="Times New Roman;serif"/>
                  <w:b w:val="false"/>
                  <w:color w:val="0000FF"/>
                  <w:sz w:val="20"/>
                  <w:u w:val="single"/>
                </w:rPr>
                <w:t>13</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136">
              <w:r>
                <w:rPr>
                  <w:rStyle w:val="InternetLink"/>
                  <w:rFonts w:ascii="Times New Roman;serif" w:hAnsi="Times New Roman;serif"/>
                  <w:b w:val="false"/>
                  <w:color w:val="0000FF"/>
                  <w:sz w:val="20"/>
                  <w:u w:val="single"/>
                </w:rPr>
                <w:t>Item 2.</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13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136">
              <w:r>
                <w:rPr>
                  <w:rStyle w:val="InternetLink"/>
                  <w:rFonts w:ascii="Times New Roman;serif" w:hAnsi="Times New Roman;serif"/>
                  <w:b w:val="false"/>
                  <w:color w:val="0000FF"/>
                  <w:sz w:val="20"/>
                  <w:u w:val="single"/>
                </w:rPr>
                <w:t>35</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44">
              <w:r>
                <w:rPr>
                  <w:rStyle w:val="InternetLink"/>
                  <w:rFonts w:ascii="Times New Roman;serif" w:hAnsi="Times New Roman;serif"/>
                  <w:b w:val="false"/>
                  <w:color w:val="0000FF"/>
                  <w:sz w:val="20"/>
                  <w:u w:val="single"/>
                </w:rPr>
                <w:t>Item 3.</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44">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44">
              <w:r>
                <w:rPr>
                  <w:rStyle w:val="InternetLink"/>
                  <w:rFonts w:ascii="Times New Roman;serif" w:hAnsi="Times New Roman;serif"/>
                  <w:b w:val="false"/>
                  <w:color w:val="0000FF"/>
                  <w:sz w:val="20"/>
                  <w:u w:val="single"/>
                </w:rPr>
                <w:t>51</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47">
              <w:r>
                <w:rPr>
                  <w:rStyle w:val="InternetLink"/>
                  <w:rFonts w:ascii="Times New Roman;serif" w:hAnsi="Times New Roman;serif"/>
                  <w:b w:val="false"/>
                  <w:color w:val="0000FF"/>
                  <w:sz w:val="20"/>
                  <w:u w:val="single"/>
                </w:rPr>
                <w:t>Item 4.</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47">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47">
              <w:r>
                <w:rPr>
                  <w:rStyle w:val="InternetLink"/>
                  <w:rFonts w:ascii="Times New Roman;serif" w:hAnsi="Times New Roman;serif"/>
                  <w:b w:val="false"/>
                  <w:color w:val="0000FF"/>
                  <w:sz w:val="20"/>
                  <w:u w:val="single"/>
                </w:rPr>
                <w:t>51</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0">
              <w:r>
                <w:rPr>
                  <w:rStyle w:val="InternetLink"/>
                  <w:rFonts w:ascii="Times New Roman;serif" w:hAnsi="Times New Roman;serif"/>
                  <w:b/>
                  <w:color w:val="0000FF"/>
                  <w:sz w:val="20"/>
                  <w:u w:val="single"/>
                </w:rPr>
                <w:t>Part II</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0">
              <w:r>
                <w:rPr>
                  <w:rStyle w:val="InternetLink"/>
                  <w:rFonts w:ascii="Times New Roman;serif" w:hAnsi="Times New Roman;serif"/>
                  <w:b/>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3">
              <w:r>
                <w:rPr>
                  <w:rStyle w:val="InternetLink"/>
                  <w:rFonts w:ascii="Times New Roman;serif" w:hAnsi="Times New Roman;serif"/>
                  <w:b w:val="false"/>
                  <w:color w:val="0000FF"/>
                  <w:sz w:val="20"/>
                  <w:u w:val="single"/>
                </w:rPr>
                <w:t>Item 1.</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3">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53">
              <w:r>
                <w:rPr>
                  <w:rStyle w:val="InternetLink"/>
                  <w:rFonts w:ascii="Times New Roman;serif" w:hAnsi="Times New Roman;serif"/>
                  <w:b w:val="false"/>
                  <w:color w:val="0000FF"/>
                  <w:sz w:val="20"/>
                  <w:u w:val="single"/>
                </w:rPr>
                <w:t>53</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6">
              <w:r>
                <w:rPr>
                  <w:rStyle w:val="InternetLink"/>
                  <w:rFonts w:ascii="Times New Roman;serif" w:hAnsi="Times New Roman;serif"/>
                  <w:b w:val="false"/>
                  <w:color w:val="0000FF"/>
                  <w:sz w:val="20"/>
                  <w:u w:val="single"/>
                </w:rPr>
                <w:t>Item 1A.</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6">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56">
              <w:r>
                <w:rPr>
                  <w:rStyle w:val="InternetLink"/>
                  <w:rFonts w:ascii="Times New Roman;serif" w:hAnsi="Times New Roman;serif"/>
                  <w:b w:val="false"/>
                  <w:color w:val="0000FF"/>
                  <w:sz w:val="20"/>
                  <w:u w:val="single"/>
                </w:rPr>
                <w:t>54</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9">
              <w:r>
                <w:rPr>
                  <w:rStyle w:val="InternetLink"/>
                  <w:rFonts w:ascii="Times New Roman;serif" w:hAnsi="Times New Roman;serif"/>
                  <w:b w:val="false"/>
                  <w:color w:val="0000FF"/>
                  <w:sz w:val="20"/>
                  <w:u w:val="single"/>
                </w:rPr>
                <w:t>Item 2.</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59">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59">
              <w:r>
                <w:rPr>
                  <w:rStyle w:val="InternetLink"/>
                  <w:rFonts w:ascii="Times New Roman;serif" w:hAnsi="Times New Roman;serif"/>
                  <w:b w:val="false"/>
                  <w:color w:val="0000FF"/>
                  <w:sz w:val="20"/>
                  <w:u w:val="single"/>
                </w:rPr>
                <w:t>88</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62">
              <w:r>
                <w:rPr>
                  <w:rStyle w:val="InternetLink"/>
                  <w:rFonts w:ascii="Times New Roman;serif" w:hAnsi="Times New Roman;serif"/>
                  <w:b w:val="false"/>
                  <w:color w:val="0000FF"/>
                  <w:sz w:val="20"/>
                  <w:u w:val="single"/>
                </w:rPr>
                <w:t>Item 3.</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62">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62">
              <w:r>
                <w:rPr>
                  <w:rStyle w:val="InternetLink"/>
                  <w:rFonts w:ascii="Times New Roman;serif" w:hAnsi="Times New Roman;serif"/>
                  <w:b w:val="false"/>
                  <w:color w:val="0000FF"/>
                  <w:sz w:val="20"/>
                  <w:u w:val="single"/>
                </w:rPr>
                <w:t>89</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65">
              <w:r>
                <w:rPr>
                  <w:rStyle w:val="InternetLink"/>
                  <w:rFonts w:ascii="Times New Roman;serif" w:hAnsi="Times New Roman;serif"/>
                  <w:b w:val="false"/>
                  <w:color w:val="0000FF"/>
                  <w:sz w:val="20"/>
                  <w:u w:val="single"/>
                </w:rPr>
                <w:t>Item 4.</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65">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65">
              <w:r>
                <w:rPr>
                  <w:rStyle w:val="InternetLink"/>
                  <w:rFonts w:ascii="Times New Roman;serif" w:hAnsi="Times New Roman;serif"/>
                  <w:b w:val="false"/>
                  <w:color w:val="0000FF"/>
                  <w:sz w:val="20"/>
                  <w:u w:val="single"/>
                </w:rPr>
                <w:t>89</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68">
              <w:r>
                <w:rPr>
                  <w:rStyle w:val="InternetLink"/>
                  <w:rFonts w:ascii="Times New Roman;serif" w:hAnsi="Times New Roman;serif"/>
                  <w:b w:val="false"/>
                  <w:color w:val="0000FF"/>
                  <w:sz w:val="20"/>
                  <w:u w:val="single"/>
                </w:rPr>
                <w:t>Item 5.</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68">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68">
              <w:r>
                <w:rPr>
                  <w:rStyle w:val="InternetLink"/>
                  <w:rFonts w:ascii="Times New Roman;serif" w:hAnsi="Times New Roman;serif"/>
                  <w:b w:val="false"/>
                  <w:color w:val="0000FF"/>
                  <w:sz w:val="20"/>
                  <w:u w:val="single"/>
                </w:rPr>
                <w:t>89</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77">
              <w:r>
                <w:rPr>
                  <w:rStyle w:val="InternetLink"/>
                  <w:rFonts w:ascii="Times New Roman;serif" w:hAnsi="Times New Roman;serif"/>
                  <w:b w:val="false"/>
                  <w:color w:val="0000FF"/>
                  <w:sz w:val="20"/>
                  <w:u w:val="single"/>
                </w:rPr>
                <w:t>Item 6.</w:t>
              </w:r>
            </w:hyperlink>
          </w:p>
        </w:tc>
        <w:tc>
          <w:tcPr>
            <w:tcW w:w="8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77">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77">
              <w:r>
                <w:rPr>
                  <w:rStyle w:val="InternetLink"/>
                  <w:rFonts w:ascii="Times New Roman;serif" w:hAnsi="Times New Roman;serif"/>
                  <w:b w:val="false"/>
                  <w:color w:val="0000FF"/>
                  <w:sz w:val="20"/>
                  <w:u w:val="single"/>
                </w:rPr>
                <w:t>90</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80">
              <w:r>
                <w:rPr>
                  <w:rStyle w:val="InternetLink"/>
                  <w:rFonts w:ascii="Times New Roman;serif" w:hAnsi="Times New Roman;serif"/>
                  <w:b w:val="false"/>
                  <w:color w:val="0000FF"/>
                  <w:sz w:val="20"/>
                  <w:u w:val="single"/>
                </w:rPr>
                <w:t>Exhibit Index</w:t>
              </w:r>
            </w:hyperlink>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80">
              <w:r>
                <w:rPr>
                  <w:rStyle w:val="InternetLink"/>
                  <w:rFonts w:ascii="Times New Roman;serif" w:hAnsi="Times New Roman;serif"/>
                  <w:b w:val="false"/>
                  <w:color w:val="0000FF"/>
                  <w:sz w:val="20"/>
                  <w:u w:val="single"/>
                </w:rPr>
                <w:t>90</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283">
              <w:r>
                <w:rPr>
                  <w:rStyle w:val="InternetLink"/>
                  <w:rFonts w:ascii="Times New Roman;serif" w:hAnsi="Times New Roman;serif"/>
                  <w:b w:val="false"/>
                  <w:color w:val="0000FF"/>
                  <w:sz w:val="20"/>
                  <w:u w:val="single"/>
                </w:rPr>
                <w:t>Signatures</w:t>
              </w:r>
            </w:hyperlink>
          </w:p>
        </w:tc>
        <w:tc>
          <w:tcPr>
            <w:tcW w:w="8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a7cb1432814509a82c3a5d3f00c65d_283">
              <w:r>
                <w:rPr>
                  <w:rStyle w:val="InternetLink"/>
                  <w:rFonts w:ascii="Times New Roman;serif" w:hAnsi="Times New Roman;serif"/>
                  <w:b w:val="false"/>
                  <w:color w:val="0000FF"/>
                  <w:sz w:val="20"/>
                  <w:u w:val="singl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our business strategy for our Gro</w:t>
      </w:r>
      <w:r>
        <w:rPr>
          <w:rFonts w:ascii="Times New Roman;serif" w:hAnsi="Times New Roman;serif"/>
          <w:b w:val="false"/>
          <w:color w:val="000000"/>
          <w:sz w:val="20"/>
          <w:shd w:fill="FFFFFF" w:val="clear"/>
        </w:rPr>
        <w:t>wth Direct platform and systems;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our expectations regarding future results of operations and financi</w:t>
      </w:r>
      <w:r>
        <w:rPr>
          <w:rFonts w:ascii="Times New Roman;serif" w:hAnsi="Times New Roman;serif"/>
          <w:b w:val="false"/>
          <w:color w:val="000000"/>
          <w:sz w:val="20"/>
          <w:shd w:fill="FFFFFF" w:val="clear"/>
        </w:rPr>
        <w:t>al position, including our expectations regarding revenue, gross margin, gross margin percentage, operating expenses and our ability to achieve positive cash flow;</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progress towards our goal to achieve positive cash flow, our plans and efforts to reduce our use of cash for operating and investing activities, including our recently-announced cost reduction effort, our plans and efforts to increase productivity and efficiency and to pursue growth opportunities and the assumptions underlying such goal;</w:t>
      </w:r>
    </w:p>
    <w:p>
      <w:pPr>
        <w:pStyle w:val="TextBody"/>
        <w:bidi w:val="0"/>
        <w:spacing w:lineRule="auto" w:line="26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expected impact of our debt facility with Trinity Capital Inc., including with respect to our financial position, cash forecast and use of proceeds;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expectations and assumptions related to our future funding requirements and available capital resources, which may be impacted by market uptake of our Growth Direct platform and systems, our management of inventory and supply chain, our capital expenditures, our research and development activities and our sales, marketing, manufacturing and distribution activities;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expectations regarding our ability to maintain and expand our customer base for our Growth Direct platform and systems, including expectations for customer adoption of new applications for our Growth Direct system;</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expected effectiveness of our sales force and our sales processes;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anticipated trends and growth rates in our business and in the markets in which we operate;</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research and development plans, activities and prospective new features, products and product approvals;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anticipate market needs and successfully develop and launch new and enhanced solutions to meet those needs, including prospective products;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expectations regarding our ability to hire and retain necessary qualified employees to grow our business and expand our operations;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expectations regarding the potential impact of inflation and fluctuations in interest rates on our business and operating costs;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remain in compliance with the listing requirements of The Nasdaq Stock Market LLC (</w:t>
      </w:r>
      <w:r>
        <w:rPr>
          <w:color w:val="000000"/>
        </w:rPr>
        <w:t>“</w:t>
      </w:r>
      <w:r>
        <w:rPr>
          <w:rFonts w:ascii="Times New Roman;serif" w:hAnsi="Times New Roman;serif"/>
          <w:b w:val="false"/>
          <w:color w:val="000000"/>
          <w:sz w:val="20"/>
          <w:shd w:fill="FFFFFF" w:val="clear"/>
        </w:rPr>
        <w:t>Nasdaq</w:t>
      </w:r>
      <w:r>
        <w:rPr>
          <w:color w:val="000000"/>
        </w:rPr>
        <w:t>”</w:t>
      </w:r>
      <w:r>
        <w:rPr>
          <w:rFonts w:ascii="Times New Roman;serif" w:hAnsi="Times New Roman;serif"/>
          <w:b w:val="false"/>
          <w:color w:val="000000"/>
          <w:sz w:val="20"/>
          <w:shd w:fill="FFFFFF" w:val="clear"/>
        </w:rPr>
        <w:t>);</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expectations regarding the potential impact of ongoing conditions in the financial markets and banking system on our operations and financial results; and</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adequately protect our intellectual property.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may not contain all of the forward-looking statements made in this Quarterly Report on Form 10-Q.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under Part II, Item 1A, “Risk Factors” of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caution you not to place undue reliance on forward-looking statements, which speak only as of the date hereof. We undertake no obligation to publicly update or revise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Our business is subject to numerous risks and uncertainties, including those described in Part II, Item 1A, “Risk Factors” in this Quarterly Report on Form 10-Q. You should carefully consider these risks and uncertainties </w:t>
      </w:r>
      <w:r>
        <w:rPr>
          <w:rFonts w:ascii="Times New Roman;serif" w:hAnsi="Times New Roman;serif"/>
          <w:b w:val="false"/>
          <w:color w:val="000000"/>
          <w:sz w:val="20"/>
          <w:shd w:fill="FFFFFF" w:val="clear"/>
        </w:rPr>
        <w:t>as part of your evaluation of an investment</w:t>
      </w:r>
      <w:r>
        <w:rPr>
          <w:color w:val="000000"/>
        </w:rPr>
        <w:t xml:space="preserve"> </w:t>
      </w:r>
      <w:r>
        <w:rPr>
          <w:rFonts w:ascii="Times New Roman;serif" w:hAnsi="Times New Roman;serif"/>
          <w:b w:val="false"/>
          <w:color w:val="000000"/>
          <w:sz w:val="20"/>
        </w:rPr>
        <w:t>in our Class A common stock. The principal risks and uncertainties affecting our business include, but are not limited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significant losses since inception, we expect to incur losses in the future and we may not be able to achieve and maintain positive cash flow and profitability;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limited operating history makes it difficult to evaluate our future prospects and the risks and challenges we may encounter;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business depends on the commercial success of our Growth Direct platform, which may not be achieved or maintained;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operating results have fluctuated significantly in the past and will fluctuate significantly in the future, which makes our future operating results difficult to predict and could cause our operating results to fall below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in the past and may in the future fail to meet our publicly announced guidance or other expectations about our business and future operating results, which could adversely affect our business, reputation and financial results and cause our stock price to decline;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cannot maintain the level of sales of our Growth Direct systems or the sales of our consumables and services to existing customers declines, our future operating results would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need or otherwise decide to raise additional capital to fund our existing operations, improve our platform or develop and commercialize new products or expand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existing and any future indebtedness could adversely affect our ability to operate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business relies heavily on establishing and maintaining our position in the market as a leading provider of automated microbial quality control (“MQC”)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be successful in expanding our business with existing customers and driving adoption of our solutions with new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of the markets and forecasts of market growth for automated MQC testing and other of our key performance indicators are based on a number of complex assumptions and estimates, and may be inaccurate;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product development involves a lengthy and complex process and we may be unable to develop or commercialize products on a timely basis,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use our Growth Direct platform as part of their quality control workflow, which is subject to regulation by the U.S. Food and Drug Administration and other comparable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manage our inventory and support demand for existing and future products on the Growth Direct platform, our business could suffer;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limited experience in marketing and sales, and if we are unable to successfully market our products to new and existing customers, address our customers’ needs or to expand our customer base, our business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cost reduction effort may not result in anticipated savings, could result in total costs and expenses that are greater than expected and could disrupt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cannot compete successfully, we may be unable to increase or sustain our revenue, or achieve and sustain profitability;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must develop new products, adapt to rapid and significant technological change and respond to introductions of new products by competitors to remain competitive;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Due to the significant resources required to enable access in new markets, we must make strategic and operational decisions to prioritize certain markets, products and services. We may expend our resources to access markets and develop products and services that do not yield meaningful revenue or we may fail to capitalize on markets, products or services that may be more profitable or with a greater potential for success;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Growth Direct platform may contain undetected errors or defects and may not meet the expectations of our customers, which means our business, financial condition, results of operations and prospects could suffer;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product liability lawsuits against us could cause us to incur substantial liabilities and limit commercialization of any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If we lose key management, cannot recruit qualified employees, directors, officers or other significant personnel or experience increases in our compensation costs, our business may be materially harmed;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realize the intended benefits of our strategic partnerships and other collaborations, and such relationships may introduce additional risks to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primary manufacturing facility or development facility become damaged or inoperable or we are required to vacate one or both facilities, our ability to conduct and pursue our manufacturing and/or development efforts would be jeopardized;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manufacturing operations are dependent upon third-party suppliers, including single-source suppliers, making us vulnerable to supply shortages and price fluctuations, which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If we are unable to obtain and maintain sufficient intellectual property protection for our technology, including the Growth Direct platform, or if the scope of the intellectual property protection obtained is not sufficiently broad, our competitors could develop and commercialize products similar or identical to ours, and our ability to successfully commercialize our products may be impaired;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market price of our Class A common stock has been and may continue to be volatile and fluctuate substantially, which could result in substantial losses for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Class A common stock is delisted from Nasdaq, the liquidity of our Class A common stock would be adversely affected and the market price of our common stock could decrease;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been, and may in the future be, subject to the actions of activist shareholders or unsolicited acquisition proposals, which could cause us to incur substantial costs, divert management’s and the board’s attention and resources, and have an adverse effect on our business and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sales and issuances of our Class A common stock, including through our ATM facility, or rights to purchase Class A common stock, including pursuant to our equity incentive plans, or upon the exercise of outstanding warrants, would result in additional dilution of the percentage ownership of our stockholders and could cause our stock price to fall.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Solely for convenience, our trademarks and trade names in this Quarterly Report on Form 10-Q are referred to without the ® and ™ symbols, but such references should not be construed as any indicator that we will not assert, to the fullest extent under applicable law, our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INTERNET POSTING OF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routinely post information that may be important to investors in the “Investors” section of our website at www.rapidmicrobio.com. We encourage investors and potential investors to consult our website regularly for important information about us. The contents of our website are not incorporated by reference in this Quarterly Report on Form 10-Q and shall not be deemed “filed”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RAPID MICRO BIOSYSTEMS,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57"/>
        <w:gridCol w:w="2413"/>
        <w:gridCol w:w="2360"/>
        <w:gridCol w:w="211"/>
        <w:gridCol w:w="721"/>
        <w:gridCol w:w="109"/>
        <w:gridCol w:w="109"/>
        <w:gridCol w:w="109"/>
        <w:gridCol w:w="109"/>
        <w:gridCol w:w="214"/>
        <w:gridCol w:w="733"/>
        <w:gridCol w:w="160"/>
      </w:tblGrid>
      <w:tr>
        <w:trPr/>
        <w:tc>
          <w:tcPr>
            <w:tcW w:w="2957"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short-term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long-term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210,000,000 shares authorized at June 30, 2026 and December 31, 2025; 45,466,105 shares and 39,970,946 shares issued and outstanding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10,000,000 shares authorized at June 30, 2026 and December 31, 2025; 4,499,529 shares issued and outstanding at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at June 30, 2026 and December 31, 2025; 0 shares issued and outstanding at June 30, 2026 and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i/>
          <w:color w:val="000000"/>
          <w:sz w:val="20"/>
        </w:rPr>
        <w:t>The accompanying notes are an integral part of these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RAPID MICRO BIOSYSTEMS,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31"/>
        <w:gridCol w:w="1198"/>
        <w:gridCol w:w="1204"/>
        <w:gridCol w:w="211"/>
        <w:gridCol w:w="772"/>
        <w:gridCol w:w="109"/>
        <w:gridCol w:w="109"/>
        <w:gridCol w:w="109"/>
        <w:gridCol w:w="109"/>
        <w:gridCol w:w="211"/>
        <w:gridCol w:w="772"/>
        <w:gridCol w:w="109"/>
        <w:gridCol w:w="109"/>
        <w:gridCol w:w="109"/>
        <w:gridCol w:w="109"/>
        <w:gridCol w:w="211"/>
        <w:gridCol w:w="772"/>
        <w:gridCol w:w="109"/>
        <w:gridCol w:w="109"/>
        <w:gridCol w:w="109"/>
        <w:gridCol w:w="109"/>
        <w:gridCol w:w="211"/>
        <w:gridCol w:w="772"/>
        <w:gridCol w:w="109"/>
        <w:gridCol w:w="109"/>
        <w:gridCol w:w="109"/>
        <w:gridCol w:w="109"/>
        <w:gridCol w:w="109"/>
        <w:gridCol w:w="109"/>
        <w:gridCol w:w="109"/>
        <w:gridCol w:w="109"/>
        <w:gridCol w:w="160"/>
      </w:tblGrid>
      <w:tr>
        <w:trPr/>
        <w:tc>
          <w:tcPr>
            <w:tcW w:w="153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cost of revenue</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expenses: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48,346,663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44,648,602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47,008,322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44,321,566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i/>
          <w:color w:val="000000"/>
          <w:sz w:val="20"/>
        </w:rPr>
        <w:t>The accompanying notes are an integral part of these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RAPID MICRO BIOSYSTEMS,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9002" w:type="dxa"/>
        <w:jc w:val="left"/>
        <w:tblInd w:w="0" w:type="dxa"/>
        <w:tblLayout w:type="fixed"/>
        <w:tblCellMar>
          <w:top w:w="28" w:type="dxa"/>
          <w:left w:w="28" w:type="dxa"/>
          <w:bottom w:w="28" w:type="dxa"/>
          <w:right w:w="28" w:type="dxa"/>
        </w:tblCellMar>
      </w:tblPr>
      <w:tblGrid>
        <w:gridCol w:w="956"/>
        <w:gridCol w:w="834"/>
        <w:gridCol w:w="850"/>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i/>
          <w:color w:val="000000"/>
          <w:sz w:val="20"/>
        </w:rPr>
        <w:t>The accompanying notes are an integral part of these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RAPID MICRO BIOSYSTEMS,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before="240" w:after="283"/>
        <w:jc w:val="left"/>
        <w:rPr/>
      </w:pPr>
      <w:r>
        <w:rPr/>
      </w:r>
    </w:p>
    <w:tbl>
      <w:tblPr>
        <w:tblW w:w="1098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126"/>
        <w:gridCol w:w="126"/>
        <w:gridCol w:w="358"/>
        <w:gridCol w:w="329"/>
        <w:gridCol w:w="229"/>
        <w:gridCol w:w="109"/>
        <w:gridCol w:w="109"/>
        <w:gridCol w:w="109"/>
        <w:gridCol w:w="196"/>
        <w:gridCol w:w="421"/>
        <w:gridCol w:w="109"/>
        <w:gridCol w:w="109"/>
        <w:gridCol w:w="109"/>
        <w:gridCol w:w="109"/>
        <w:gridCol w:w="274"/>
        <w:gridCol w:w="274"/>
        <w:gridCol w:w="278"/>
        <w:gridCol w:w="109"/>
        <w:gridCol w:w="109"/>
        <w:gridCol w:w="109"/>
        <w:gridCol w:w="231"/>
        <w:gridCol w:w="390"/>
        <w:gridCol w:w="130"/>
        <w:gridCol w:w="109"/>
        <w:gridCol w:w="109"/>
        <w:gridCol w:w="109"/>
        <w:gridCol w:w="196"/>
        <w:gridCol w:w="736"/>
        <w:gridCol w:w="109"/>
        <w:gridCol w:w="109"/>
        <w:gridCol w:w="109"/>
        <w:gridCol w:w="109"/>
        <w:gridCol w:w="196"/>
        <w:gridCol w:w="751"/>
        <w:gridCol w:w="109"/>
        <w:gridCol w:w="109"/>
        <w:gridCol w:w="109"/>
        <w:gridCol w:w="109"/>
        <w:gridCol w:w="196"/>
        <w:gridCol w:w="331"/>
        <w:gridCol w:w="109"/>
        <w:gridCol w:w="109"/>
        <w:gridCol w:w="109"/>
        <w:gridCol w:w="109"/>
        <w:gridCol w:w="196"/>
        <w:gridCol w:w="64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 xml:space="preserve">Common stock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32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39,970,946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upon 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exercise of warrant to purchase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41,267,511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upon 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pursuant to Underwritten and D&amp;O Offerings to related parties,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to purchase common stock to related parties,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45,466,105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(549,595)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11375"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126"/>
        <w:gridCol w:w="126"/>
        <w:gridCol w:w="500"/>
        <w:gridCol w:w="461"/>
        <w:gridCol w:w="127"/>
        <w:gridCol w:w="109"/>
        <w:gridCol w:w="109"/>
        <w:gridCol w:w="109"/>
        <w:gridCol w:w="196"/>
        <w:gridCol w:w="421"/>
        <w:gridCol w:w="109"/>
        <w:gridCol w:w="109"/>
        <w:gridCol w:w="109"/>
        <w:gridCol w:w="109"/>
        <w:gridCol w:w="435"/>
        <w:gridCol w:w="436"/>
        <w:gridCol w:w="171"/>
        <w:gridCol w:w="109"/>
        <w:gridCol w:w="109"/>
        <w:gridCol w:w="109"/>
        <w:gridCol w:w="231"/>
        <w:gridCol w:w="390"/>
        <w:gridCol w:w="130"/>
        <w:gridCol w:w="109"/>
        <w:gridCol w:w="109"/>
        <w:gridCol w:w="109"/>
        <w:gridCol w:w="196"/>
        <w:gridCol w:w="736"/>
        <w:gridCol w:w="109"/>
        <w:gridCol w:w="109"/>
        <w:gridCol w:w="109"/>
        <w:gridCol w:w="109"/>
        <w:gridCol w:w="196"/>
        <w:gridCol w:w="751"/>
        <w:gridCol w:w="109"/>
        <w:gridCol w:w="109"/>
        <w:gridCol w:w="109"/>
        <w:gridCol w:w="109"/>
        <w:gridCol w:w="196"/>
        <w:gridCol w:w="331"/>
        <w:gridCol w:w="109"/>
        <w:gridCol w:w="109"/>
        <w:gridCol w:w="109"/>
        <w:gridCol w:w="109"/>
        <w:gridCol w:w="196"/>
        <w:gridCol w:w="64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 xml:space="preserve">Common stock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32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37,729,242 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5,309,529 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upon 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39,191,669 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4,499,529 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(486,537)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upon 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39,560,439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552,502 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(498,395)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i/>
          <w:color w:val="000000"/>
          <w:sz w:val="20"/>
        </w:rPr>
        <w:t>The accompanying notes are an integral part of these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RAPID MICRO BIOSYSTEMS,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55"/>
        <w:gridCol w:w="2415"/>
        <w:gridCol w:w="2433"/>
        <w:gridCol w:w="211"/>
        <w:gridCol w:w="794"/>
        <w:gridCol w:w="109"/>
        <w:gridCol w:w="109"/>
        <w:gridCol w:w="109"/>
        <w:gridCol w:w="109"/>
        <w:gridCol w:w="211"/>
        <w:gridCol w:w="794"/>
        <w:gridCol w:w="156"/>
      </w:tblGrid>
      <w:tr>
        <w:trPr/>
        <w:tc>
          <w:tcPr>
            <w:tcW w:w="2755"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revaluation of warrant liability</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investments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investments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of investments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Class A common stock - stock option exercise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Class A common stock - employee stock purchase plan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settlement of restricted stock units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related parties in underwritten and D&amp;O offerings, net of underwriting discounts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third-party offering costs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obligations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cash equivalents and restricted cash</w:t>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RAPID MICRO BIOSYSTEMS,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8697" w:type="dxa"/>
        <w:jc w:val="left"/>
        <w:tblInd w:w="0" w:type="dxa"/>
        <w:tblLayout w:type="fixed"/>
        <w:tblCellMar>
          <w:top w:w="28" w:type="dxa"/>
          <w:left w:w="28" w:type="dxa"/>
          <w:bottom w:w="28" w:type="dxa"/>
          <w:right w:w="28" w:type="dxa"/>
        </w:tblCellMar>
      </w:tblPr>
      <w:tblGrid>
        <w:gridCol w:w="2384"/>
        <w:gridCol w:w="2095"/>
        <w:gridCol w:w="2106"/>
        <w:gridCol w:w="219"/>
        <w:gridCol w:w="640"/>
        <w:gridCol w:w="113"/>
        <w:gridCol w:w="113"/>
        <w:gridCol w:w="113"/>
        <w:gridCol w:w="113"/>
        <w:gridCol w:w="219"/>
        <w:gridCol w:w="422"/>
        <w:gridCol w:w="160"/>
      </w:tblGrid>
      <w:tr>
        <w:trPr/>
        <w:tc>
          <w:tcPr>
            <w:tcW w:w="238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activities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and accrued expenses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financing activities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costs included in accounts payable and accrued expenses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i/>
          <w:color w:val="000000"/>
          <w:sz w:val="20"/>
        </w:rPr>
        <w:t>The accompanying notes are an integral part of these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RAPID MICRO BIOSYSTEMS,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the business and basis of presentation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Rapid Micro Biosystems, Inc. (the “Company”) was incorporated under the laws of the State of Delaware on December 29, 2006. The Company develops, manufactures, markets and sells Growth Direct systems (“Systems”), proprietary consumables, laboratory information management system (“LIMS”) connection and other software, and services to address rapid microbial analysis used for quality control in the manufacture of pharmaceuticals, medical devices and personal care products. The Company’s technology uses a highly sensitive camera and the natural auto fluorescence of living cells to identify and quantify microbial growth faster and more accurately than the traditional method, which relies on the human eye. The Company currently sells to customers in North America, Europe and the Asia-Pacific region. The Company is headquartered in Lexington, Massachusetts.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have been prepared in accordance with generally accepted accounting principles in the United States of America (“GAAP”) and include the accounts of the Company and its wholly owned subsidiaries in Germany and Switzerland. All intercompany accounts and transactions have been eliminated in consolidation. Certain information and note disclosures normally included in the consolidated financial statements prepared in accordance with GAAP have been condensed or omitted. Therefore, these condensed consolidated financial statements should be read in conjunction with the consolidated financial statements and notes included in the Company’s audited consolidated financial statements for the year ended December 31, 2025. Any reference in these notes to applicable guidance is meant to refer to the authoritative GAAP as found in the Accounting Standards Codification (“ASC”) and Accounting Standards Update (“ASU”) of the Financial Accounting Standards Board (“FASB”).</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2026 and the results of its operations and its cash flows for the three and six months ended June 30, 2026 and 2025. The financial data and other information disclosed in these notes related to the three and six months ended June 30, 2026 and 2025 are also unaudited. The results for the three and six months ended June 30, 2026 are not necessarily indicative of results to be expected for the year ending December 31, 2026, any other interim periods, or any future year or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Reclassification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amounts in the prior period financial statements have been reclassified to conform to the presentation of the current period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incurred recurring losses and net cash outflows from operations since its inception. The Company expects to continue to generate operating losses in the near to medium term. To date, the Company has funded operations primarily through proceeds from sales of redeemable convertible preferred stock, borrowings under loan agreements, revenue from sales of our products and services, proceeds from the Company’s initial public offering (“IPO”), proceeds from registered offerings, and proceeds from the Company’s at-the-market facility.</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8, 2025, the Company entered into a Loan and Security Agreement (“LSA”) with Trinity Capital Inc. and the other lenders party thereto and Trinity Capital Inc., as administrative agent and collateral agent, with an aggregate principal amount of $45.0 million, with $20.0 million drawn on the first tranche and up to an additional $20.0 million in the aggregate, across two equal tranches, available if certain commercial and operational milestones are met, and up to an additional $5.0 million at the lenders’ sole discretion.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On May 20, 2026, as described in </w:t>
      </w:r>
      <w:r>
        <w:rPr>
          <w:rFonts w:ascii="Times New Roman;serif" w:hAnsi="Times New Roman;serif"/>
          <w:b w:val="false"/>
          <w:i/>
          <w:color w:val="000000"/>
          <w:sz w:val="20"/>
        </w:rPr>
        <w:t>Note 10 - Common stock and common stock warrants</w:t>
      </w:r>
      <w:r>
        <w:rPr>
          <w:rFonts w:ascii="Times New Roman;serif" w:hAnsi="Times New Roman;serif"/>
          <w:b w:val="false"/>
          <w:color w:val="000000"/>
          <w:sz w:val="20"/>
        </w:rPr>
        <w:t xml:space="preserve">, the Company sold shares of Class A common stock pursuant to an Underwriting Agreement, resulting in proceeds of $8.8 million, net of underwriting discounts and estimated third-party fees. Concurrent with the Underwriting Agreement, the Company also sold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pursuant to a Securities Purchase Agreement with certain of the Company’s directors and officers, resulting in proceeds of $0.1 million.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expects that its existing cash, cash equivalents and investments and additional borrowing capacity expected to become available under the LSA that is subject to the satisfaction of certain commercial and operational milestones and other conditions will be sufficient to fund its operating expenses and capital expenditure requirements for at least 12 months following the date these consolidated financial statements were issued. Access to the first additional tranche under the LSA is expected in January 2027 after initial satisfaction of certain revenue and gross margin metrics in the six months ending December 31, 2026.</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Company’s expectations and underlying assumptions of business performance, including revenue growth, gross margin improvement, and control of operating costs, are not realized, the Company may need to reduce spending or raise additional funding which could be through equity offerings, additional debt financings or a combination thereof. If the Company is unable to raise capital as, if and when, needed, or cannot draw down the first additional tranche of the LSA, the Company may have to significantly delay, scale back or discontinue its expansion plans including further development and commercialization efforts of one or more of its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231F20"/>
          <w:sz w:val="20"/>
        </w:rPr>
        <w:t xml:space="preserve">2. </w:t>
      </w:r>
      <w:r>
        <w:rPr>
          <w:rFonts w:ascii="Times New Roman;serif" w:hAnsi="Times New Roman;serif"/>
          <w:b/>
          <w:color w:val="000000"/>
          <w:sz w:val="20"/>
        </w:rPr>
        <w:t>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periods. Significant estimates and assumptions reflected in these condensed consolidated financial statements include, but are not limited to, calculating the standalone selling price for revenue recognition, the valuation of inventory, and the valuation of stock-based awards. The Company bases its estimates on historical experience, known trends and other market-specific and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during the three and six months ended June 30, 2026, as compared to those disclosed in Note 2 of the audited consolidated financial statements filed with the Company’s Annual Report on Form 10-K for the fiscal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Risk of concentrations of credit, significant customers and significant suppliers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primarily of cash, cash equivalents, short-term investments and accounts receivable. The Company maintains its cash and cash equivalents with financial institutions that management believes to be of high credit quality, and does not believe that it is subject to unusual credit risk beyond the credit risk associated with commercial banking relationships.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customers are those which represent more than 10% of the Company’s total revenue or accounts receivable balance at each respective balance sheet date. The following table presents customers that represented 10% or more of the Company’s total revenue:</w:t>
      </w:r>
    </w:p>
    <w:tbl>
      <w:tblPr>
        <w:tblW w:w="7578" w:type="dxa"/>
        <w:jc w:val="left"/>
        <w:tblInd w:w="0" w:type="dxa"/>
        <w:tblLayout w:type="fixed"/>
        <w:tblCellMar>
          <w:top w:w="28" w:type="dxa"/>
          <w:left w:w="28" w:type="dxa"/>
          <w:bottom w:w="28" w:type="dxa"/>
          <w:right w:w="28" w:type="dxa"/>
        </w:tblCellMar>
      </w:tblPr>
      <w:tblGrid>
        <w:gridCol w:w="391"/>
        <w:gridCol w:w="344"/>
        <w:gridCol w:w="345"/>
        <w:gridCol w:w="255"/>
        <w:gridCol w:w="256"/>
        <w:gridCol w:w="470"/>
        <w:gridCol w:w="189"/>
        <w:gridCol w:w="189"/>
        <w:gridCol w:w="189"/>
        <w:gridCol w:w="255"/>
        <w:gridCol w:w="256"/>
        <w:gridCol w:w="470"/>
        <w:gridCol w:w="109"/>
        <w:gridCol w:w="109"/>
        <w:gridCol w:w="109"/>
        <w:gridCol w:w="255"/>
        <w:gridCol w:w="256"/>
        <w:gridCol w:w="430"/>
        <w:gridCol w:w="172"/>
        <w:gridCol w:w="172"/>
        <w:gridCol w:w="172"/>
        <w:gridCol w:w="255"/>
        <w:gridCol w:w="256"/>
        <w:gridCol w:w="430"/>
        <w:gridCol w:w="109"/>
        <w:gridCol w:w="109"/>
        <w:gridCol w:w="109"/>
        <w:gridCol w:w="109"/>
        <w:gridCol w:w="109"/>
        <w:gridCol w:w="109"/>
        <w:gridCol w:w="109"/>
        <w:gridCol w:w="109"/>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*Represented less than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customers that represented 10% or more of the Company’s accounts receivable:</w:t>
      </w:r>
    </w:p>
    <w:tbl>
      <w:tblPr>
        <w:tblW w:w="3505" w:type="dxa"/>
        <w:jc w:val="left"/>
        <w:tblInd w:w="0" w:type="dxa"/>
        <w:tblLayout w:type="fixed"/>
        <w:tblCellMar>
          <w:top w:w="28" w:type="dxa"/>
          <w:left w:w="28" w:type="dxa"/>
          <w:bottom w:w="28" w:type="dxa"/>
          <w:right w:w="28" w:type="dxa"/>
        </w:tblCellMar>
      </w:tblPr>
      <w:tblGrid>
        <w:gridCol w:w="391"/>
        <w:gridCol w:w="344"/>
        <w:gridCol w:w="345"/>
        <w:gridCol w:w="255"/>
        <w:gridCol w:w="256"/>
        <w:gridCol w:w="399"/>
        <w:gridCol w:w="109"/>
        <w:gridCol w:w="109"/>
        <w:gridCol w:w="109"/>
        <w:gridCol w:w="255"/>
        <w:gridCol w:w="256"/>
        <w:gridCol w:w="67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*Represented less than 10%</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relies on third parties for the supply and manufacture of certain components of its products as well as third-party logistics providers. There were no significant concentrations around a single third-party supplier, manufacturer, or logistics provider for the six months ended June 30, 2026 or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90 days or less at the time of purchase to be cash equivalents. Cash equivalents that are readily convertible to cash are stated at cost, which approximates fair value. At June 30, 2026 and December 31, 2025, the Company held cash of $0.3 million and $0.1 million in banks located outside of the United States,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was required to maintain guaranteed investment certificates of $0.3 million with maturities of three months to one year that are subject to an insignificant risk of changes in value. The guaranteed investment certificates are held for the benefit of the landlord in connection with operating leases which have remaining terms of greater than one year and are classified as restricted cash (non-current) on the Company’s condensed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are customer obligations that are unconditional. Accounts receivable are presented net of an allowance for doubtful accounts for expected credit losses, which represents an estimate of amounts that may not be collectible. The Company performs ongoing credit evaluations of its customers and, if necessary, provides an allowance for doubtful accounts and expected credit losses. A provision to the allowance for doubtful accounts for expected credit losses is recorded based on factors including the length of time the receivables are past due, the current business environment, the geographic market, and the Company’s historical experience. Provisions to the allowance for doubtful accounts for expected credit losses are recorded to general and administrative expenses in the condensed consolidated statements of operations. The Company writes off accounts receivable against the allowance when it determines a balance is uncollectible and no longer actively pursues collection of the receivable. The Company does not have any off-balance-sheet credit exposure related to customers. As of June 30, 2026 and December 31, 2025, the allowance for doubtful accounts for expected credit losses was zero.</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Software development costs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Company accounts for software development costs for internal-use software under the provisions of ASC 350-40, </w:t>
      </w:r>
      <w:r>
        <w:rPr>
          <w:color w:val="000000"/>
        </w:rPr>
        <w:t>“</w:t>
      </w:r>
      <w:r>
        <w:rPr>
          <w:rFonts w:ascii="Times New Roman;serif" w:hAnsi="Times New Roman;serif"/>
          <w:b w:val="false"/>
          <w:i/>
          <w:color w:val="000000"/>
          <w:sz w:val="20"/>
        </w:rPr>
        <w:t>Internal-Use Software</w:t>
      </w:r>
      <w:r>
        <w:rPr>
          <w:color w:val="000000"/>
        </w:rPr>
        <w:t xml:space="preserve">” </w:t>
      </w:r>
      <w:r>
        <w:rPr>
          <w:rFonts w:ascii="Times New Roman;serif" w:hAnsi="Times New Roman;serif"/>
          <w:b w:val="false"/>
          <w:color w:val="000000"/>
          <w:sz w:val="20"/>
        </w:rPr>
        <w:t>(“ASC 350”). Accordingly, certain costs to develop internal-use computer software are capitalized, provided these costs are expected to be recoverable. Internal-use software is amortized on a straight-line basis over its estimated useful life. For each of the three months ended June 30, 2026 and 2025, there was less than $0.1 million of amortization expense related to capitalized software development costs recorded in the condensed consolidated statements of operations. For the six months ended June 30, 2026 and 2025, there was less than $0.1 million and $0.2 million of amortization expense, respectively, related to capitalized software development costs recorded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1—Quoted prices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3—Unobservable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equivalents and short-term investments are carried at fair value, determined according to the fair value hierarchy described above (see Note 3). The carrying values of the Company’s accounts receivable, prepaid expenses and other current assets, accounts payable and accrued expenses and other current liabilities approximate their fair values due to the short-term nature of these assets and liabilities. The carrying value of long-term debt approximates fair value as the interest rate under the obligation approximates market rates of interest available to the Company for similar instruments and is net of unamortized debt issuance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common stock warrants as equity if the contract requires physical settlement or net physical settlement or if the Company has the option of physical settlement or net physical settlement and the warrants meet the requirements to be classified as equity. Common stock warrants classified as equity are initially measured at fair value using the Black-Scholes-Merton (“Black Scholes”) option pricing model using various inputs, including Company estimates of expected stock price volatility, term, risk-free rate and future dividends, on the issuance date and are not subsequently remeasured.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common stock warrants as a liability in accordance with ASC 815-40-15 if the warrants do not meet the criteria for equity treatment and must be recorded as liabilities. Accordingly, the Company classifies the warrants as liabilities based on their fair value at issuance. This liability is subject to re-measurement at each balance sheet date until exercised, and any change in fair value is recognized in the other expense line of the condensed consolidated statement of operations and comprehensive loss. The warrants are valued using the Black-Scholes model.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warranties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offers a one-year limited assurance warranty on System sales, which is included in the selling price. The Company also performs preventative maintenance visits, or a service warranty, during the warranty period. Similarly, from time to time, we have determined, and may in the future determine, to repair, replace or otherwise remedy other products, including our consumables, at no charge to customers. We update our estimate for assurance warranty expenses at each reporting period, net of warranty claims. The accrual for assurance warranty obligations is included in accrued expenses and other current liabilities in the condensed consolidated balance sheets. The following table presents a summary of changes in the amount reserved for warranty cost (in thousands):</w:t>
      </w:r>
    </w:p>
    <w:tbl>
      <w:tblPr>
        <w:tblW w:w="8691" w:type="dxa"/>
        <w:jc w:val="left"/>
        <w:tblInd w:w="0" w:type="dxa"/>
        <w:tblLayout w:type="fixed"/>
        <w:tblCellMar>
          <w:top w:w="28" w:type="dxa"/>
          <w:left w:w="28" w:type="dxa"/>
          <w:bottom w:w="28" w:type="dxa"/>
          <w:right w:w="28" w:type="dxa"/>
        </w:tblCellMar>
      </w:tblPr>
      <w:tblGrid>
        <w:gridCol w:w="1010"/>
        <w:gridCol w:w="888"/>
        <w:gridCol w:w="892"/>
        <w:gridCol w:w="251"/>
        <w:gridCol w:w="556"/>
        <w:gridCol w:w="130"/>
        <w:gridCol w:w="130"/>
        <w:gridCol w:w="130"/>
        <w:gridCol w:w="130"/>
        <w:gridCol w:w="251"/>
        <w:gridCol w:w="556"/>
        <w:gridCol w:w="130"/>
        <w:gridCol w:w="109"/>
        <w:gridCol w:w="109"/>
        <w:gridCol w:w="109"/>
        <w:gridCol w:w="230"/>
        <w:gridCol w:w="508"/>
        <w:gridCol w:w="118"/>
        <w:gridCol w:w="118"/>
        <w:gridCol w:w="118"/>
        <w:gridCol w:w="118"/>
        <w:gridCol w:w="230"/>
        <w:gridCol w:w="508"/>
        <w:gridCol w:w="118"/>
        <w:gridCol w:w="109"/>
        <w:gridCol w:w="109"/>
        <w:gridCol w:w="109"/>
        <w:gridCol w:w="109"/>
        <w:gridCol w:w="109"/>
        <w:gridCol w:w="109"/>
        <w:gridCol w:w="109"/>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warranty estimates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period</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determined its operating segment after considering the Company’s organizational structure and the information regularly reviewed and evaluated by the Company’s chief operating decision maker (“CODM”) in deciding how to allocate resources and assess performance. The Company has determined that its CODM is its Chief Executive Officer. The CODM reviews the financial information on a consolidated basis, specifically net loss on the condensed consolidated statement of operations, for purposes of evaluating financial performance and allocating resources. The CODM reviews all functional expenses (cost of revenues, sales and marketing, research and development, and general and administrative) at the consolidated level to manage the Company’s operations. Other segment items included in consolidated net loss are interest income, interest expense, other expense, and provision for income taxes. These line items are reflected in the condensed consolidated statement of operations. The chief operating decision maker considers budget-to-actual variances on a monthly basis for the profit measure when making decisions about allocating capital and personnel to the segment. On the basis of these factors, the Company determined that it operates and manages its business as one operating segment, that develops, manufactures, markets and sells Systems and related LIMS connection and other software, consumables and services; and accordingly has one reportable segment for financial reporting purposes. The measure of the segment’s assets is reported on the balance sheet as total consolidated assets. Substantially all of the Company’s long-lived assets are held in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w:t>
      </w:r>
      <w:r>
        <w:rPr>
          <w:rFonts w:ascii="Times New Roman;serif" w:hAnsi="Times New Roman;serif"/>
          <w:b w:val="false"/>
          <w:color w:val="231F20"/>
          <w:sz w:val="20"/>
        </w:rPr>
        <w:t xml:space="preserve">(iii) </w:t>
      </w:r>
      <w:r>
        <w:rPr>
          <w:rFonts w:ascii="Times New Roman;serif" w:hAnsi="Times New Roman;serif"/>
          <w:b w:val="false"/>
          <w:color w:val="000000"/>
          <w:sz w:val="20"/>
        </w:rPr>
        <w:t>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 balances from contracts with customers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Contract assets arise from customer arrangements when revenue recognized exceeds the amount billed to the customer and the Company’s right to payment is conditional and not only subject to the passage of time. The Company had less than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$0.1 million </w:t>
      </w:r>
      <w:r>
        <w:rPr>
          <w:rFonts w:ascii="Times New Roman;serif" w:hAnsi="Times New Roman;serif"/>
          <w:b w:val="false"/>
          <w:color w:val="000000"/>
          <w:sz w:val="20"/>
        </w:rPr>
        <w:t xml:space="preserve">in contract assets included in prepaid expenses and other current assets in the condensed consolidated balance sheets as of June 30, 2026 and December 31, 2025, respectively. These balances relate to unbilled amounts with customers. </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represent the Company’s obligation to transfer goods or services to a customer for which it has received consideration (or the amount is due) from the customer. The Company has a contract liability related to service revenue, which consists of amounts that have been invoiced but that have not been recognized as revenue. Amounts expected to be recognized as revenue within 12 months of the balance sheet date are classified as current deferred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val="false"/>
          <w:color w:val="000000"/>
          <w:sz w:val="20"/>
        </w:rPr>
        <w:t xml:space="preserve">and amounts expected to be recognized as revenue beyond 12 months of the balance sheet date are classified as non-current deferred revenue. The Company did not record any non-current deferred revenue as of June 30, 2026 or December 31, 2025. Deferred revenue was </w:t>
      </w:r>
      <w:r>
        <w:rPr>
          <w:rFonts w:ascii="Times New Roman;serif" w:hAnsi="Times New Roman;serif"/>
          <w:b w:val="false"/>
          <w:color w:val="000000"/>
          <w:sz w:val="20"/>
          <w:shd w:fill="FFFFFF" w:val="clear"/>
        </w:rPr>
        <w:t>$5.5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$4.7 million</w:t>
      </w:r>
      <w:r>
        <w:rPr>
          <w:color w:val="000000"/>
        </w:rPr>
        <w:t xml:space="preserve"> </w:t>
      </w:r>
      <w:r>
        <w:rPr>
          <w:rFonts w:ascii="Times New Roman;serif" w:hAnsi="Times New Roman;serif"/>
          <w:b w:val="false"/>
          <w:color w:val="000000"/>
          <w:sz w:val="20"/>
        </w:rPr>
        <w:t xml:space="preserve">at June 30, 2026 and December 31, 2025, respectively. Revenue recognized during the three months ended June 30, 2026 and 2025 that was included in deferred revenue at the prior period-end was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$1.1 million, respectively. Revenue recognized during the six months ended </w:t>
      </w:r>
      <w:r>
        <w:rPr>
          <w:rFonts w:ascii="Times New Roman;serif" w:hAnsi="Times New Roman;serif"/>
          <w:b w:val="false"/>
          <w:color w:val="000000"/>
          <w:sz w:val="20"/>
        </w:rPr>
        <w:t>June 30, 2026 and 2025</w:t>
      </w:r>
      <w:r>
        <w:rPr>
          <w:color w:val="000000"/>
          <w:shd w:fill="FFFFFF" w:val="clear"/>
        </w:rPr>
        <w:t xml:space="preserve"> </w:t>
      </w:r>
      <w:r>
        <w:rPr>
          <w:rFonts w:ascii="Times New Roman;serif" w:hAnsi="Times New Roman;serif"/>
          <w:b w:val="false"/>
          <w:color w:val="000000"/>
          <w:sz w:val="20"/>
          <w:shd w:fill="FFFFFF" w:val="clear"/>
        </w:rPr>
        <w:t>that was included in deferred revenue at the prior period-end was $2.5 million and $3.2 million,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disaggregates revenue based on the recurring and non-recurring nature of the underlying sale. Recurring revenue includes sales of consumables and service contracts. The Company considers these to be recurring revenues because customers typically place purchase orders on a periodic basis as they use their Growth Direct system(s) over time. These arrangements typically contain a single performance obligation and thus the entire consideration to which the Company is entitled is allocated entirely to that performance obligation. Non-recurring revenue includes sales of systems, LIMS connection software, other software, validation services, and field services, and typically contains multiple performance obligations. The Company considers these to be non-recurring revenues because customers typically place single purchase orders for a bundle of products and services on a one-time or infrequent basis. For these arrangements, significant judgment is applied in identifying the distinct performance obligations, determination of the transaction price, transaction price allocation, and determination of standalone selling price for each of the distinct performance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by the recurring or non-recurring nature of the revenue stream (in thousands):</w:t>
      </w:r>
    </w:p>
    <w:tbl>
      <w:tblPr>
        <w:tblW w:w="9710" w:type="dxa"/>
        <w:jc w:val="left"/>
        <w:tblInd w:w="0" w:type="dxa"/>
        <w:tblLayout w:type="fixed"/>
        <w:tblCellMar>
          <w:top w:w="28" w:type="dxa"/>
          <w:left w:w="28" w:type="dxa"/>
          <w:bottom w:w="28" w:type="dxa"/>
          <w:right w:w="28" w:type="dxa"/>
        </w:tblCellMar>
      </w:tblPr>
      <w:tblGrid>
        <w:gridCol w:w="1375"/>
        <w:gridCol w:w="1208"/>
        <w:gridCol w:w="1212"/>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 recurring</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 non-recurring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by customer geography (in thousands):</w:t>
      </w:r>
    </w:p>
    <w:tbl>
      <w:tblPr>
        <w:tblW w:w="7549" w:type="dxa"/>
        <w:jc w:val="left"/>
        <w:tblInd w:w="0" w:type="dxa"/>
        <w:tblLayout w:type="fixed"/>
        <w:tblCellMar>
          <w:top w:w="28" w:type="dxa"/>
          <w:left w:w="28" w:type="dxa"/>
          <w:bottom w:w="28" w:type="dxa"/>
          <w:right w:w="28" w:type="dxa"/>
        </w:tblCellMar>
      </w:tblPr>
      <w:tblGrid>
        <w:gridCol w:w="593"/>
        <w:gridCol w:w="519"/>
        <w:gridCol w:w="522"/>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Advertising costs are expensed as incurred and are included in sales and marketing expenses in the condensed consolidated statements of operations. Advertising costs were less than $0.1 million during each of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June 30, 2026 and 2025. Advertising costs were $0.1 million and less than $0.1 million during the </w:t>
      </w:r>
      <w:r>
        <w:rPr>
          <w:rFonts w:ascii="Times New Roman;serif" w:hAnsi="Times New Roman;serif"/>
          <w:b w:val="false"/>
          <w:color w:val="000000"/>
          <w:sz w:val="20"/>
          <w:shd w:fill="FFFFFF" w:val="clear"/>
        </w:rPr>
        <w:t xml:space="preserve">six months ended </w:t>
      </w:r>
      <w:r>
        <w:rPr>
          <w:rFonts w:ascii="Times New Roman;serif" w:hAnsi="Times New Roman;serif"/>
          <w:b w:val="false"/>
          <w:color w:val="000000"/>
          <w:sz w:val="20"/>
        </w:rPr>
        <w:t>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all stock-based awards granted to employees, officers and directors based on their fair value on the date of the grant and recognizes compensation expense for those awards over the requisite service period, which is generally the vesting period of the respective award. The Company issues stock-based awards with (i) service-based vesting conditions only and (ii) stock-based awards with both service-based and Company performance vesting conditions, and records the expense for these awards using the straight-line method. Forfeitures are accounted for prospectively as they occur.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all restricted stock units granted based on the common stock value on the date of grant.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w:t>
      </w:r>
      <w:r>
        <w:rPr>
          <w:color w:val="000000"/>
        </w:rPr>
        <w:t xml:space="preserve"> </w:t>
      </w:r>
      <w:r>
        <w:rPr>
          <w:rFonts w:ascii="Times New Roman;serif" w:hAnsi="Times New Roman;serif"/>
          <w:b w:val="false"/>
          <w:color w:val="000000"/>
          <w:sz w:val="20"/>
        </w:rPr>
        <w:t>(Topic 326): Measurement of Credit Losses for Accounts Receivable and Contract Assets.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The Company adopted this guidance prospectively effective January 1, 2026, and elected the practical expedient to assume that current conditions as of the balance sheet date do not change for the remaining life of the assets. The adoption of this ASU had no material impact on the Company’s condensed consolidated financial statements and related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qualifies as an “emerging growth company” as defined in the Jumpstart Our Business Startups (“JOBS”)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newer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(Subtopic 220-40): Disaggregation of Income Statement Expenses. This update requires that public businesses provide more detailed disclosures about specific natural expense categories within their footnotes. The primary objective is to enhance transparency and provide investors with a clearer understanding of an entity’s cost structure. The amendments in this update are effective for annual periods beginning after December 15, 2026, and interim periods beginning after December 15, 2027. The Company is in the process of evaluating the impact the adoption of this ASU will have on its consolidated financial statements and related disclosures.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(Subtopic 350-40): Targeted Improvements to the Accounting for Internal-Use Software. The ASU clarifies and modernizes the accounting for costs related to internal-use software. The ASU is effective for annual periods beginning after December 15, 2027, and interim reporting periods within those annual reporting periods. Early adoption is also permitted for annual or interim financial statements that have not yet been issued or made available for issuance. The Company is in the process of evaluating the impact the adoption of this ASU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of financial assets and liabilities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tbl>
      <w:tblPr>
        <w:tblW w:w="6555" w:type="dxa"/>
        <w:jc w:val="left"/>
        <w:tblInd w:w="0" w:type="dxa"/>
        <w:tblLayout w:type="fixed"/>
        <w:tblCellMar>
          <w:top w:w="28" w:type="dxa"/>
          <w:left w:w="28" w:type="dxa"/>
          <w:bottom w:w="28" w:type="dxa"/>
          <w:right w:w="28" w:type="dxa"/>
        </w:tblCellMar>
      </w:tblPr>
      <w:tblGrid>
        <w:gridCol w:w="720"/>
        <w:gridCol w:w="635"/>
        <w:gridCol w:w="640"/>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June 30,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15" w:type="dxa"/>
        <w:jc w:val="left"/>
        <w:tblInd w:w="0" w:type="dxa"/>
        <w:tblLayout w:type="fixed"/>
        <w:tblCellMar>
          <w:top w:w="28" w:type="dxa"/>
          <w:left w:w="28" w:type="dxa"/>
          <w:bottom w:w="28" w:type="dxa"/>
          <w:right w:w="28" w:type="dxa"/>
        </w:tblCellMar>
      </w:tblPr>
      <w:tblGrid>
        <w:gridCol w:w="720"/>
        <w:gridCol w:w="635"/>
        <w:gridCol w:w="640"/>
        <w:gridCol w:w="211"/>
        <w:gridCol w:w="721"/>
        <w:gridCol w:w="109"/>
        <w:gridCol w:w="109"/>
        <w:gridCol w:w="109"/>
        <w:gridCol w:w="109"/>
        <w:gridCol w:w="211"/>
        <w:gridCol w:w="406"/>
        <w:gridCol w:w="109"/>
        <w:gridCol w:w="109"/>
        <w:gridCol w:w="109"/>
        <w:gridCol w:w="109"/>
        <w:gridCol w:w="211"/>
        <w:gridCol w:w="466"/>
        <w:gridCol w:w="109"/>
        <w:gridCol w:w="109"/>
        <w:gridCol w:w="109"/>
        <w:gridCol w:w="109"/>
        <w:gridCol w:w="211"/>
        <w:gridCol w:w="72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3 liability valuations are based on unobservable inputs, which reflect the Company’s own assumptions incorporated in valuation techniques used to determine fair value; further discussion of these assumptions is set forth below. During the three and six months ended June 30, 2026 and 2025, there were no transfers in or out of Level 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equivalents consist of money market funds and treasury bills and are classified within Level 1 of the fair value hierarchy because they are valued using quoted market prices in active markets. The Company considers all highly liquid interest-earning investments with a maturity of 90 days or less at the date of purchase to be cash equivalents. The fair values of these investments approximate their carrying values.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Valuation of short-term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Treasury bills and notes included in short-term investments were valued by the Company using quoted prices in active markets for identical securities, which represents a Level 1 measurement within the fair value hierarchy.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Valuation of warrant liability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warrant liability associated with the future tranches of the LSA borrowing at June 30, 2026 was determined using the Black-Scholes option pricing model. This represents a Level 3 measurement within the fair value hierarchy. The key inputs for the Black-Scholes valuation model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tbl>
      <w:tblPr>
        <w:tblW w:w="4588" w:type="dxa"/>
        <w:jc w:val="center"/>
        <w:tblInd w:w="0" w:type="dxa"/>
        <w:tblLayout w:type="fixed"/>
        <w:tblCellMar>
          <w:top w:w="28" w:type="dxa"/>
          <w:left w:w="28" w:type="dxa"/>
          <w:bottom w:w="28" w:type="dxa"/>
          <w:right w:w="28" w:type="dxa"/>
        </w:tblCellMar>
      </w:tblPr>
      <w:tblGrid>
        <w:gridCol w:w="773"/>
        <w:gridCol w:w="677"/>
        <w:gridCol w:w="679"/>
        <w:gridCol w:w="211"/>
        <w:gridCol w:w="511"/>
        <w:gridCol w:w="271"/>
        <w:gridCol w:w="109"/>
        <w:gridCol w:w="109"/>
        <w:gridCol w:w="109"/>
        <w:gridCol w:w="231"/>
        <w:gridCol w:w="561"/>
        <w:gridCol w:w="347"/>
      </w:tblGrid>
      <w:tr>
        <w:trPr/>
        <w:tc>
          <w:tcPr>
            <w:tcW w:w="7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Change in fair value of Level 3 liabilities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following table presents a reconciliation of the warrant liability measured at fair value on a recurring basis as of</w:t>
      </w:r>
      <w:r>
        <w:rPr>
          <w:color w:val="000000"/>
        </w:rPr>
        <w:t xml:space="preserve"> </w:t>
      </w:r>
      <w:r>
        <w:rPr>
          <w:rFonts w:ascii="Times New Roman;serif" w:hAnsi="Times New Roman;serif"/>
          <w:b w:val="false"/>
          <w:color w:val="000000"/>
          <w:sz w:val="20"/>
        </w:rPr>
        <w:t>June 30, 2026:</w:t>
      </w:r>
    </w:p>
    <w:tbl>
      <w:tblPr>
        <w:tblW w:w="4948" w:type="dxa"/>
        <w:jc w:val="left"/>
        <w:tblInd w:w="0" w:type="dxa"/>
        <w:tblLayout w:type="fixed"/>
        <w:tblCellMar>
          <w:top w:w="28" w:type="dxa"/>
          <w:left w:w="28" w:type="dxa"/>
          <w:bottom w:w="28" w:type="dxa"/>
          <w:right w:w="28" w:type="dxa"/>
        </w:tblCellMar>
      </w:tblPr>
      <w:tblGrid>
        <w:gridCol w:w="1287"/>
        <w:gridCol w:w="1130"/>
        <w:gridCol w:w="1137"/>
        <w:gridCol w:w="354"/>
        <w:gridCol w:w="782"/>
        <w:gridCol w:w="258"/>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 liability</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in revaluation of warrant liability</w:t>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warrant liability is recognized in the other expense, net line of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Short-term investments by investment type consisted of the following (in thousands):</w:t>
      </w:r>
    </w:p>
    <w:tbl>
      <w:tblPr>
        <w:tblW w:w="7369" w:type="dxa"/>
        <w:jc w:val="left"/>
        <w:tblInd w:w="0" w:type="dxa"/>
        <w:tblLayout w:type="fixed"/>
        <w:tblCellMar>
          <w:top w:w="28" w:type="dxa"/>
          <w:left w:w="28" w:type="dxa"/>
          <w:bottom w:w="28" w:type="dxa"/>
          <w:right w:w="28" w:type="dxa"/>
        </w:tblCellMar>
      </w:tblPr>
      <w:tblGrid>
        <w:gridCol w:w="998"/>
        <w:gridCol w:w="879"/>
        <w:gridCol w:w="882"/>
        <w:gridCol w:w="211"/>
        <w:gridCol w:w="616"/>
        <w:gridCol w:w="109"/>
        <w:gridCol w:w="109"/>
        <w:gridCol w:w="109"/>
        <w:gridCol w:w="109"/>
        <w:gridCol w:w="248"/>
        <w:gridCol w:w="478"/>
        <w:gridCol w:w="130"/>
        <w:gridCol w:w="109"/>
        <w:gridCol w:w="109"/>
        <w:gridCol w:w="109"/>
        <w:gridCol w:w="305"/>
        <w:gridCol w:w="392"/>
        <w:gridCol w:w="159"/>
        <w:gridCol w:w="109"/>
        <w:gridCol w:w="109"/>
        <w:gridCol w:w="109"/>
        <w:gridCol w:w="211"/>
        <w:gridCol w:w="61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Treasury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7579" w:type="dxa"/>
        <w:jc w:val="left"/>
        <w:tblInd w:w="0" w:type="dxa"/>
        <w:tblLayout w:type="fixed"/>
        <w:tblCellMar>
          <w:top w:w="28" w:type="dxa"/>
          <w:left w:w="28" w:type="dxa"/>
          <w:bottom w:w="28" w:type="dxa"/>
          <w:right w:w="28" w:type="dxa"/>
        </w:tblCellMar>
      </w:tblPr>
      <w:tblGrid>
        <w:gridCol w:w="998"/>
        <w:gridCol w:w="879"/>
        <w:gridCol w:w="882"/>
        <w:gridCol w:w="211"/>
        <w:gridCol w:w="721"/>
        <w:gridCol w:w="109"/>
        <w:gridCol w:w="109"/>
        <w:gridCol w:w="109"/>
        <w:gridCol w:w="109"/>
        <w:gridCol w:w="265"/>
        <w:gridCol w:w="453"/>
        <w:gridCol w:w="138"/>
        <w:gridCol w:w="109"/>
        <w:gridCol w:w="109"/>
        <w:gridCol w:w="109"/>
        <w:gridCol w:w="248"/>
        <w:gridCol w:w="478"/>
        <w:gridCol w:w="130"/>
        <w:gridCol w:w="109"/>
        <w:gridCol w:w="109"/>
        <w:gridCol w:w="109"/>
        <w:gridCol w:w="211"/>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Treasury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 Inventory,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net consisted of the following (in thousands):</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Raw materials, work in process and finished goods were net of adjustments to realizable value of $0.6 million and $1.2 million</w:t>
      </w:r>
      <w:r>
        <w:rPr>
          <w:color w:val="000000"/>
        </w:rPr>
        <w:t xml:space="preserve"> </w:t>
      </w:r>
      <w:r>
        <w:rPr>
          <w:rFonts w:ascii="Times New Roman;serif" w:hAnsi="Times New Roman;serif"/>
          <w:b w:val="false"/>
          <w:color w:val="000000"/>
          <w:sz w:val="20"/>
        </w:rPr>
        <w:t xml:space="preserve">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Prepaid expenses and other current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4352" w:type="dxa"/>
        <w:jc w:val="left"/>
        <w:tblInd w:w="0" w:type="dxa"/>
        <w:tblLayout w:type="fixed"/>
        <w:tblCellMar>
          <w:top w:w="28" w:type="dxa"/>
          <w:left w:w="28" w:type="dxa"/>
          <w:bottom w:w="28" w:type="dxa"/>
          <w:right w:w="28" w:type="dxa"/>
        </w:tblCellMar>
      </w:tblPr>
      <w:tblGrid>
        <w:gridCol w:w="705"/>
        <w:gridCol w:w="621"/>
        <w:gridCol w:w="623"/>
        <w:gridCol w:w="211"/>
        <w:gridCol w:w="616"/>
        <w:gridCol w:w="109"/>
        <w:gridCol w:w="109"/>
        <w:gridCol w:w="109"/>
        <w:gridCol w:w="109"/>
        <w:gridCol w:w="245"/>
        <w:gridCol w:w="716"/>
        <w:gridCol w:w="17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Property and equipment,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987" w:type="dxa"/>
        <w:jc w:val="left"/>
        <w:tblInd w:w="0" w:type="dxa"/>
        <w:tblLayout w:type="fixed"/>
        <w:tblCellMar>
          <w:top w:w="28" w:type="dxa"/>
          <w:left w:w="28" w:type="dxa"/>
          <w:bottom w:w="28" w:type="dxa"/>
          <w:right w:w="28" w:type="dxa"/>
        </w:tblCellMar>
      </w:tblPr>
      <w:tblGrid>
        <w:gridCol w:w="1261"/>
        <w:gridCol w:w="1107"/>
        <w:gridCol w:w="1112"/>
        <w:gridCol w:w="211"/>
        <w:gridCol w:w="721"/>
        <w:gridCol w:w="109"/>
        <w:gridCol w:w="109"/>
        <w:gridCol w:w="109"/>
        <w:gridCol w:w="109"/>
        <w:gridCol w:w="221"/>
        <w:gridCol w:w="757"/>
        <w:gridCol w:w="161"/>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laboratory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related to property and equipment was $0.7 million for each of the three months ended June 30, 2026 and 2025 and was $1.4 million for each of the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Accrued expenses and other current liabilities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962" w:type="dxa"/>
        <w:jc w:val="left"/>
        <w:tblInd w:w="0" w:type="dxa"/>
        <w:tblLayout w:type="fixed"/>
        <w:tblCellMar>
          <w:top w:w="28" w:type="dxa"/>
          <w:left w:w="28" w:type="dxa"/>
          <w:bottom w:w="28" w:type="dxa"/>
          <w:right w:w="28" w:type="dxa"/>
        </w:tblCellMar>
      </w:tblPr>
      <w:tblGrid>
        <w:gridCol w:w="1652"/>
        <w:gridCol w:w="1450"/>
        <w:gridCol w:w="1457"/>
        <w:gridCol w:w="211"/>
        <w:gridCol w:w="616"/>
        <w:gridCol w:w="109"/>
        <w:gridCol w:w="109"/>
        <w:gridCol w:w="109"/>
        <w:gridCol w:w="109"/>
        <w:gridCol w:w="245"/>
        <w:gridCol w:w="716"/>
        <w:gridCol w:w="179"/>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benefits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Notes payable,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Notes payable, net consisted of the following (in thousands):</w:t>
      </w:r>
    </w:p>
    <w:tbl>
      <w:tblPr>
        <w:tblW w:w="6032" w:type="dxa"/>
        <w:jc w:val="left"/>
        <w:tblInd w:w="0" w:type="dxa"/>
        <w:tblLayout w:type="fixed"/>
        <w:tblCellMar>
          <w:top w:w="28" w:type="dxa"/>
          <w:left w:w="28" w:type="dxa"/>
          <w:bottom w:w="28" w:type="dxa"/>
          <w:right w:w="28" w:type="dxa"/>
        </w:tblCellMar>
      </w:tblPr>
      <w:tblGrid>
        <w:gridCol w:w="1276"/>
        <w:gridCol w:w="1120"/>
        <w:gridCol w:w="1129"/>
        <w:gridCol w:w="211"/>
        <w:gridCol w:w="721"/>
        <w:gridCol w:w="109"/>
        <w:gridCol w:w="109"/>
        <w:gridCol w:w="109"/>
        <w:gridCol w:w="109"/>
        <w:gridCol w:w="221"/>
        <w:gridCol w:w="757"/>
        <w:gridCol w:w="161"/>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related warrant liability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end of term fee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Term loan agreements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Loan and Security Agreement</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8, 2025 (the “Closing Date”), the Company entered into a Loan and Security Agreement (the “LSA”) with Trinity Capital Inc. and the other lenders party thereto (collectively, the “Lenders”) and Trinity Capital Inc., as administrative agent and collateral agent (the “Agent”).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LSA, the Lenders agreed to extend debt capital to the Company, in the form of a term loan, in tranches totaling an aggregate principal amount of up to $45.0 million available as follows: (a) at closing, an aggregate principal amount of $20.0 million (the “First Tranche”), (b) until January 31, 2027, subject to the achievement of certain commercial and operational milestones, an aggregate principal amount of $10.0 million (the “Second Tranche”), (c) until July 31, 2027, subject to the achievement of certain commercial and operational milestones, an aggregate principal amount of $10.0 million (the “Third Tranche”), and (d) an aggregate principal amount of $5.0 million in Lenders’ sole discretion (the “Fourth Tranche” and collectively with the First Tranche, the Second Tranche and the Third Tranche, the “Tranches”). The obligations of the Lenders to extend such debt capital are subject to certain conditions precedent described in the LSA. The Company is required to pay a commitment fee of 1.0% of the amount drawn, plus related documentation and funding fees, in connection with each drawdown. On the Closing Date, the Company drew down the First Tranche. The Company’s obligations under the facility may be guaranteed by certain subsidiaries and are secured by a first priority security interest in substantially all assets of the Company and any subsidiaries providing a guarantee.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drawdown of any Tranche, the Company is required to issue to the Lenders warrants to purchase shares of the Company’s Class A common stock. The exercise price (“Exercise Price”) for each warrant shall be equal to the lower of (a) the volume-weighted average price of the Class A common stock over the ten days prior to the drawdown and (b) the closing price of the Class A common stock on the day immediately prior to the drawdown. The number of shares of Class A common stock for which each warrant is exercisable is equal to 3.0% of the drawn down amount of the applicable Tranche, divided by the Exercise Price. Each warrant shall have a term of ten years from the date of issuance and shall permit cashless exercise, all in accordance with its terms. In connection with the drawdown of the First Tranche, the Company issued warrants to purchase up to an aggregate of 179,104 shares of Class A common stock, with an Exercise Price of $3.35 per share. As it relates to the warrants issued for the First Tranche, the Company concluded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they meet the requirements for equity classification given the exercise price and number of shares are fixed. As it relates to the subsequent Second and Third tranche, given the strike price is a floating strike price which will not be set until drawn, the Company concluded they should be accounted for as liabilities until drawn.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Tranches will mature on September 1, 2030 (the “Maturity Date”), unless earlier accelerated under the terms of the LSA. At maturity, the Company is required to repay the then-outstanding principal amount, together with any accrued and unpaid interest thereon and any other obligations outstanding under the LSA. In addition, at maturity or early termination of the LSA, including acceleration of the loans, the Company is required to pay the Lenders an additional 4.0% of the amounts drawn down by the Company under the LSA (the “End of Term Payment”).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accrues on the Tranches that the Company has drawn down at a floating rate per annum, calculated based on a 360-day year, equal to the greater of (a) the sum of (i) The Wall Street Journal Prime Rate and (ii) 4.0%, and (b) 11.0%. The initial interest rate was 11.5% per annum. For the first 36 months after the Closing Date (the “Interest Only Period”), the Company is required to make only monthly payments of interest in arrears. Following such period, and until the Maturity Date (the “Amortization Period”), the Company is required to make monthly payments of principal and interest in an amount that fully amortizes the outstanding principal balance due over the duration of the Amortization Period. If the Second Tranche is fully drawn down by the Company, the Interest Only Period will be extended by six months. If the Third Tranche is fully drawn down by the Company, the Interest Only Period will be extended by a further six months. In the event of such extensions of the Interest Only Period, the duration of the Amortization Period will decrease by the same amount. In any event, the total term of all Tranches shall not exceed 60 months.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voluntarily prepay the outstanding loan balance at any time, in whole or in part, subject to the payment of prepayment premiums.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the premium shall equal 1.0% of the principal being repaid. For the avoidance of doubt, such prepayment premiums are in addition to the End of Term Payment. Additionally, the Company is required to prepay the outstanding loan balance (plus accrued and unpaid interest thereon, any prepayment premiums and any other obligations that are due and payable) upon a sale, divestment or transfer of all or substantially all assets of the Company and its subsidiaries, taken as a whole, or of a material business line of the Company, the acquisition by a person or group of a sufficient number of the Company’s equity securities to elect a majority of the members of the Company’s board of directors, or the acceleration of the loans by the Agent on behalf of the Lenders following an event of default under the LSA.</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LSA contains customary affirmative and negative covenants (imposed on us and our subsidiaries, as applicable), including with respect to notice obligations, limitations on new indebtedness, liens, investments and transactions with affiliates of the Company, restrictions on the payment of dividends, maintenance of collateral and accounts and maintenance of insurance. The LSA does not contain any covenants to maintain a specified level of revenues, profitability, cash flow or cash resources.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LSA contains customary representations and warranties of the Company, as well as customary events of default, the occurrence of which may accelerate the obligations of the Company, increase the interest rate by a specified default rate and impose other consequences described in the LSA. Such events include among others, failure to make payments when due, breach of covenants, insolvency, a cross-default to other indebtedness, a judgment event of default, the occurrence of a material adverse change to the Company, and delisting of the Company’s securities from Nasdaq.</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$20 million outstanding under the LSA and unamortized debt issuance costs of $0.7 million.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interest rate was 11.0% at June 30, 2026. During the three months ended June 30, 2026, the Company recognized $0.6 million of interest expense, including less than $0.1 million of amortization of debt issuance costs. During the six months ended June 30, 2026, the Company recognized interest expense of $1.3 million, including less than $0.1 million of amortization of debt issuance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debt principal payments under the LSA as of June 30, 2026, excluding the $0.8 million end of term fee, are due as follows (in thousands):</w:t>
      </w:r>
    </w:p>
    <w:tbl>
      <w:tblPr>
        <w:tblW w:w="4407" w:type="dxa"/>
        <w:jc w:val="left"/>
        <w:tblInd w:w="0" w:type="dxa"/>
        <w:tblLayout w:type="fixed"/>
        <w:tblCellMar>
          <w:top w:w="28" w:type="dxa"/>
          <w:left w:w="28" w:type="dxa"/>
          <w:bottom w:w="28" w:type="dxa"/>
          <w:right w:w="28" w:type="dxa"/>
        </w:tblCellMar>
      </w:tblPr>
      <w:tblGrid>
        <w:gridCol w:w="847"/>
        <w:gridCol w:w="744"/>
        <w:gridCol w:w="749"/>
        <w:gridCol w:w="109"/>
        <w:gridCol w:w="109"/>
        <w:gridCol w:w="109"/>
        <w:gridCol w:w="109"/>
        <w:gridCol w:w="109"/>
        <w:gridCol w:w="109"/>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Year Ending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231F20"/>
          <w:sz w:val="20"/>
        </w:rPr>
        <w:t xml:space="preserve">10. </w:t>
      </w:r>
      <w:r>
        <w:rPr>
          <w:rFonts w:ascii="Times New Roman;serif" w:hAnsi="Times New Roman;serif"/>
          <w:b/>
          <w:color w:val="000000"/>
          <w:sz w:val="20"/>
        </w:rPr>
        <w:t>Common stock and common stock warrants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the Company’s restated certificate of incorporation authorized the issuance of $0.01 par value Class A and Class B common stock. Each share of Class A common stock entitles the holder to one vote on all matters submitted to a vote of the Company’s stockholders. The Company’s Class B common stock is non-voting. Class A and Class B common stockholders are entitled to receive dividends, as may be declared by the board of directors, if any, subject to the preferential dividend rights of Preferred Stock. As of June 30, 2026, no cash dividends had been declared or paid.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15, 2023, the Company entered into an ATM Agreement with Cowen, pursuant to which the Company may issue and sell shares of its Class A common stock having aggregate sales proceeds of up to $50 million from time to time through Cowen, acting as sales agent and/or principal. The prospectus filed by the Company related to the ATM Agreement permits the issuance and sale of up to $10 million of shares of Class A common stock from time to time. The Company agreed to pay Cowen a commission of up to 3.0% of the gross proceeds from any sales of shares of its Class A common stock under this facility. During the year ended December 31, 2025, we sold 113,217 shares of Class A common stock under this facility resulting in net proceeds of $0.4 million. During the three and six months ended June 30, 2026, we did not issue or sell any shares of our Class A common stock under this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20, 2026, the Company closed the Underwritten Offering and sold (i) 3,581,000 shares of Class A common stock with accompanying Series A Warrants to purchase an aggregate of 3,581,000 shares of Class A common stock and Series B Warrants to purchase an aggregate of 3,581,000 shares of Class A common stock, and (ii) Pre-Funded Warrants to purchase up to 1,463,000 shares of Class A common stock at an exercise price of $0.01, with accompanying Series A Warrants to purchase up to 1,463,000 shares of Class A common stock at an exercise price of $1.955 per share, and Series B Warrants to purchase up to 1,463,000 shares of Class A common stock at an exercise price of $2.340 per share, in exchange for net proceeds received of $8.8 million. Proceeds received were net of $0.5 million in estimated third-party fees and $0.6 million in underwriting discounts. The participants in the Underwritten Offering are related parties that include investors who are significant owners in the Company.</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29, 2026, the Company closed the D&amp;O Offering and sold an additional 71,607 shares of Class A common stock and accompanying Series A Warrants to purchase an aggregate of 71,607 shares of Class A common stock with an exercise price of $1.955 per share and Series B Warrants to purchase an aggregate of 71,607 shares of Class A common stock with an exercise price of $2.340 per share to various of the Company’s officers and directors in exchange for proceeds of $0.1 million. The participants in the D&amp;O Offering are related parties that include members of management and the board of directors of the Company.</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lieu of exercising warrants from the underwritten and registered direct offerings for Class A common stock, holders may exercise instead for the equivalent number of pre-funded warrants.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are exercisable immediately and may be exercised at any time. The Series A Warrants are exercisable 6 months from the date of issuance and will expire one year from the date of issuance. The Series B Warrants are exercisable 6 months from the date of issuance and will expire five years from the date of issuance. The exercise price of each class of warrants issued is subject to certain adjustments. Further, the Company may not effect the exercise of any warrant if the holder of such warrant would own greater than 4.5%, 4.99%, or 9.99%, as applicable to the individual warrant holders, of the total number of issued and outstanding shares of Class A common stock of the Company prior to or after exercise of such warrant.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Series A Warrants include provisions applicable upon certain fundamental transactions, such as mergers or sales of the Company, that preserve the holders' economic rights by providing the right to receive the same type of consideration that would have been received had the warrants been exercised immediately prior to the transaction.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Series A Warrants also contain a forced exercise provision granting the Company the right, upon the satisfaction of specified conditions, to require holders to exercise all or any portion of their Series A Warrants.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Series B warrants include similar provisions applicable upon certain fundamental transactions, including the right under specified circumstances to receive the Black-Scholes value of the unexercised warrants.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Pre-Funded Warrants, Series A Warrants, and Series B Warrants meet the criteria to be classified as equity instruments pursuant to the equity classification criteria in ASC 815-40, and funds received were accordingly recorded as an increase in additional paid-in capital in the condensed consolidated balance sheets.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As of June 30, 2026, the Company had reserve</w:t>
      </w:r>
      <w:r>
        <w:rPr>
          <w:rFonts w:ascii="Times New Roman;serif" w:hAnsi="Times New Roman;serif"/>
          <w:b w:val="false"/>
          <w:color w:val="000000"/>
          <w:sz w:val="20"/>
          <w:shd w:fill="FFFFFF" w:val="clear"/>
        </w:rPr>
        <w:t>d 41,946,851</w:t>
      </w:r>
      <w:r>
        <w:rPr>
          <w:color w:val="000000"/>
        </w:rPr>
        <w:t xml:space="preserve"> </w:t>
      </w:r>
      <w:r>
        <w:rPr>
          <w:rFonts w:ascii="Times New Roman;serif" w:hAnsi="Times New Roman;serif"/>
          <w:b w:val="false"/>
          <w:color w:val="000000"/>
          <w:sz w:val="20"/>
        </w:rPr>
        <w:t>shares of Class A common stock for the exercise of outstanding stock options and warrants, vesting of restricted stock units, the number of shares remaining available for grant under the Company’s 2021 Incentive Award Plan (see Note 11), the number of shares available for purchase under the Company’s Employee Stock Purchase Plan (see Note 11) and the conversion of Class B common stock.</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Outstanding warrants to purchase common stock consisted of the following at June 30, 2026:</w:t>
      </w:r>
    </w:p>
    <w:tbl>
      <w:tblPr>
        <w:tblW w:w="9283" w:type="dxa"/>
        <w:jc w:val="left"/>
        <w:tblInd w:w="0" w:type="dxa"/>
        <w:tblLayout w:type="fixed"/>
        <w:tblCellMar>
          <w:top w:w="28" w:type="dxa"/>
          <w:left w:w="28" w:type="dxa"/>
          <w:bottom w:w="28" w:type="dxa"/>
          <w:right w:w="28" w:type="dxa"/>
        </w:tblCellMar>
      </w:tblPr>
      <w:tblGrid>
        <w:gridCol w:w="901"/>
        <w:gridCol w:w="790"/>
        <w:gridCol w:w="798"/>
        <w:gridCol w:w="109"/>
        <w:gridCol w:w="109"/>
        <w:gridCol w:w="109"/>
        <w:gridCol w:w="459"/>
        <w:gridCol w:w="459"/>
        <w:gridCol w:w="461"/>
        <w:gridCol w:w="109"/>
        <w:gridCol w:w="109"/>
        <w:gridCol w:w="109"/>
        <w:gridCol w:w="359"/>
        <w:gridCol w:w="359"/>
        <w:gridCol w:w="361"/>
        <w:gridCol w:w="109"/>
        <w:gridCol w:w="109"/>
        <w:gridCol w:w="109"/>
        <w:gridCol w:w="504"/>
        <w:gridCol w:w="504"/>
        <w:gridCol w:w="506"/>
        <w:gridCol w:w="109"/>
        <w:gridCol w:w="109"/>
        <w:gridCol w:w="109"/>
        <w:gridCol w:w="294"/>
        <w:gridCol w:w="1006"/>
        <w:gridCol w:w="214"/>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5088" w:type="dxa"/>
            <w:gridSpan w:val="18"/>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sheet</w:t>
              <w:b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Shares of </w:t>
              <w:br/>
              <w:t xml:space="preserve">common stock </w:t>
              <w:br/>
              <w:t>issuable upon</w:t>
              <w:br/>
              <w:t>exercise of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w:t>
              <w:br/>
              <w:t>exercise price</w:t>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24,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12,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 Pre-funded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 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 Series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2026 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2026 Series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such rights shall not expire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Outstanding warrants to purchase common stock consisted of the following at December 31, 2025:</w:t>
      </w:r>
    </w:p>
    <w:tbl>
      <w:tblPr>
        <w:tblW w:w="8173"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459"/>
        <w:gridCol w:w="459"/>
        <w:gridCol w:w="461"/>
        <w:gridCol w:w="109"/>
        <w:gridCol w:w="109"/>
        <w:gridCol w:w="109"/>
        <w:gridCol w:w="359"/>
        <w:gridCol w:w="359"/>
        <w:gridCol w:w="361"/>
        <w:gridCol w:w="109"/>
        <w:gridCol w:w="109"/>
        <w:gridCol w:w="109"/>
        <w:gridCol w:w="504"/>
        <w:gridCol w:w="504"/>
        <w:gridCol w:w="506"/>
        <w:gridCol w:w="109"/>
        <w:gridCol w:w="109"/>
        <w:gridCol w:w="109"/>
        <w:gridCol w:w="294"/>
        <w:gridCol w:w="1006"/>
        <w:gridCol w:w="21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5088" w:type="dxa"/>
            <w:gridSpan w:val="18"/>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sheet</w:t>
              <w:b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Shares of </w:t>
              <w:br/>
              <w:t xml:space="preserve">common stock </w:t>
              <w:br/>
              <w:t>issuable upon</w:t>
              <w:br/>
              <w:t>exercise of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w:t>
              <w:br/>
              <w:t>exercise price</w:t>
            </w:r>
          </w:p>
        </w:tc>
      </w:tr>
      <w:tr>
        <w:trPr/>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24,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12,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IPO, preferred stock warrants were automatically converted to Class A common stock warrants. The contractual term of the converted Class A common stock warrants remained consistent with the original term of the preferred stock warrants, with original issue dates between 2017-2020.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2010 Stock Option and Grant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2010 Stock Option and Grant Plan (the “2010 Plan”) provided for the Company to grant incentive stock options or nonqualified stock options, restricted stock awards and other stock-based awards to employees, officers, directors and consultants of the Company.</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Following the effectiveness of the Company</w:t>
      </w:r>
      <w:r>
        <w:rPr>
          <w:color w:val="000000"/>
        </w:rPr>
        <w:t>’</w:t>
      </w:r>
      <w:r>
        <w:rPr>
          <w:rFonts w:ascii="Times New Roman;serif" w:hAnsi="Times New Roman;serif"/>
          <w:b w:val="false"/>
          <w:color w:val="000000"/>
          <w:sz w:val="20"/>
          <w:shd w:fill="FFFFFF" w:val="clear"/>
        </w:rPr>
        <w:t>s IPO in July 2021, no additional awards are being granted under the 2010 Plan and shares of existing outstanding options that were issued under the 2010 Plan and are forfeited or canceled are available for grant under the 2021 Incentive Award Plan.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2021 Incentive Award Plan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July 2021, the Board of Directors adopted, and the Company’s stockholders approved, the 2021 Incentive Award Plan (the “2021 Plan”). The 2021 Plan provides for the grant of stock options, including incentive stock options and non-qualified stock options, stock appreciation rights, restricted stock, restricted stock units, and other stock-based and cash-based awards. The 2021 Plan has a term of ten years. The aggregate number of shares of Class A common stock available for issuance under the 2021 Plan is equal to the sum of (i) 4,200,000 shares; (ii) any shares which are subject to the 2010 Plan awards that become available for issuance under the 2021 Plan; and (iii) an annual increase for ten years on the first day of each calendar year beginning on January 1, 2022, equal to the lesser of (A) 5% of the aggregate number of shares of Class A common stock outstanding on the last day of the immediately preceding calendar year and (B) such smaller amount of shares as determined by the Board of Directors. No more than 33,900,000 shares of Class A common stock may be issued under the 2021 Plan upon the exercise of incentive stock options. As of June 30, 2026, there were </w:t>
      </w:r>
      <w:r>
        <w:rPr>
          <w:rFonts w:ascii="Times New Roman;serif" w:hAnsi="Times New Roman;serif"/>
          <w:b w:val="false"/>
          <w:color w:val="000000"/>
          <w:sz w:val="20"/>
          <w:shd w:fill="FFFFFF" w:val="clear"/>
        </w:rPr>
        <w:t xml:space="preserve">4,602,558 </w:t>
      </w:r>
      <w:r>
        <w:rPr>
          <w:rFonts w:ascii="Times New Roman;serif" w:hAnsi="Times New Roman;serif"/>
          <w:b w:val="false"/>
          <w:color w:val="000000"/>
          <w:sz w:val="20"/>
        </w:rPr>
        <w:t>shares available for issuance under the 2021 Plan.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2023 Inducement Plan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2023, the Company’s board of directors adopted the 2023 Inducement Plan (the “Inducement Plan”) pursuant to which the Company reserved 330,000 shares of Class A common stock to be used exclusively for grants of equity-based awards to individuals who were not previously employees or directors of the Company as an inducement material to the individual’s entry into employment with the Company within the meaning of Rule 5635(c)(4) of The Nasdaq Listing Rules. The Inducement Plan provides for the grant of equity-based awards in the form of nonstatutory stock options, stock appreciation rights, restricted stock awards, restricted stock unit awards, and dividend equivalent rights. The Inducement Plan was adopted by the Company’s board of directors without stockholder approval pursuant to Rule 5635(c)(4) of the Nasdaq Listing Rules. In February and May 2025, the Company amended the Inducement Plan to reserve an additional 476,000 and 442,987 shares, respectively, of its Class A common stock. In January 2026, the Company amended the Inducement Plan to reserve an additional 1,000,000 shares of its Class A common stock. The amendments were adopted by the Company’s board of directors, without stockholder approval pursuant to Rule 5635(c)(4) of The Nasdaq Listing Rules. As of June 30, 2026, 1,227,000 shares were available for future issuance under the Inducement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on a weighted average basis, the assumptions used in the Black-Scholes option-pricing model to determine the grant-date fair value of stock options granted:</w:t>
      </w:r>
    </w:p>
    <w:tbl>
      <w:tblPr>
        <w:tblW w:w="10205" w:type="dxa"/>
        <w:jc w:val="left"/>
        <w:tblInd w:w="0" w:type="dxa"/>
        <w:tblLayout w:type="fixed"/>
        <w:tblCellMar>
          <w:top w:w="28" w:type="dxa"/>
          <w:left w:w="28" w:type="dxa"/>
          <w:bottom w:w="28" w:type="dxa"/>
          <w:right w:w="28" w:type="dxa"/>
        </w:tblCellMar>
      </w:tblPr>
      <w:tblGrid>
        <w:gridCol w:w="747"/>
        <w:gridCol w:w="653"/>
        <w:gridCol w:w="659"/>
        <w:gridCol w:w="109"/>
        <w:gridCol w:w="109"/>
        <w:gridCol w:w="298"/>
        <w:gridCol w:w="298"/>
        <w:gridCol w:w="298"/>
        <w:gridCol w:w="298"/>
        <w:gridCol w:w="309"/>
        <w:gridCol w:w="303"/>
        <w:gridCol w:w="741"/>
        <w:gridCol w:w="318"/>
        <w:gridCol w:w="311"/>
        <w:gridCol w:w="763"/>
        <w:gridCol w:w="306"/>
        <w:gridCol w:w="306"/>
        <w:gridCol w:w="306"/>
        <w:gridCol w:w="255"/>
        <w:gridCol w:w="256"/>
        <w:gridCol w:w="292"/>
        <w:gridCol w:w="255"/>
        <w:gridCol w:w="256"/>
        <w:gridCol w:w="292"/>
        <w:gridCol w:w="109"/>
        <w:gridCol w:w="109"/>
        <w:gridCol w:w="109"/>
        <w:gridCol w:w="109"/>
        <w:gridCol w:w="109"/>
        <w:gridCol w:w="109"/>
        <w:gridCol w:w="109"/>
        <w:gridCol w:w="109"/>
        <w:gridCol w:w="109"/>
        <w:gridCol w:w="109"/>
        <w:gridCol w:w="109"/>
        <w:gridCol w:w="109"/>
        <w:gridCol w:w="159"/>
      </w:tblGrid>
      <w:tr>
        <w:trPr/>
        <w:tc>
          <w:tcPr>
            <w:tcW w:w="7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803"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gridSpan w:val="7"/>
            <w:tcBorders/>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since December 31, 2025:</w:t>
      </w:r>
    </w:p>
    <w:tbl>
      <w:tblPr>
        <w:tblW w:w="9003" w:type="dxa"/>
        <w:jc w:val="left"/>
        <w:tblInd w:w="0" w:type="dxa"/>
        <w:tblLayout w:type="fixed"/>
        <w:tblCellMar>
          <w:top w:w="28" w:type="dxa"/>
          <w:left w:w="28" w:type="dxa"/>
          <w:bottom w:w="28" w:type="dxa"/>
          <w:right w:w="28" w:type="dxa"/>
        </w:tblCellMar>
      </w:tblPr>
      <w:tblGrid>
        <w:gridCol w:w="1272"/>
        <w:gridCol w:w="1115"/>
        <w:gridCol w:w="1122"/>
        <w:gridCol w:w="309"/>
        <w:gridCol w:w="309"/>
        <w:gridCol w:w="313"/>
        <w:gridCol w:w="109"/>
        <w:gridCol w:w="109"/>
        <w:gridCol w:w="109"/>
        <w:gridCol w:w="274"/>
        <w:gridCol w:w="664"/>
        <w:gridCol w:w="141"/>
        <w:gridCol w:w="109"/>
        <w:gridCol w:w="109"/>
        <w:gridCol w:w="109"/>
        <w:gridCol w:w="444"/>
        <w:gridCol w:w="444"/>
        <w:gridCol w:w="446"/>
        <w:gridCol w:w="109"/>
        <w:gridCol w:w="109"/>
        <w:gridCol w:w="109"/>
        <w:gridCol w:w="251"/>
        <w:gridCol w:w="735"/>
        <w:gridCol w:w="183"/>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remaining </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Options vested and expected to vest as of </w:t>
              <w:br/>
              <w:t>June 30, 2026</w:t>
            </w:r>
          </w:p>
        </w:tc>
        <w:tc>
          <w:tcPr>
            <w:tcW w:w="9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June 30, 2026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is calculated as the difference between the exercise price of the stock options and the fair value of the Company’s Class A common stock for those options that had exercise prices lower than such fair value.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intrinsic value of stock options exercised during the three months ended June 30, 2026 and 2025 was less than $0.1 million and $0.3 million, respectively, and during the six months ended June 30, 2026 and 2025 was $0.2 million and $0.6 million, respectively.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per share of stock options granted during the three months ended June 30, 2026 and 2025 was $0.91 and $1.81, respectively, and during the six months ended June 30, 2026 and 2025 was $1.84 and $1.80,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unit grants typically have service-based vesting terms from one to three years. Vesting occurs annually on the anniversary of the grant date. During the six months ended June 30, 2026, the Company granted restricted stock units with service-based vesting conditions only. The Company expenses the fair value of the restricted stock units over the vesting period and accounts for forfeitures prospectively as they occur.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restricted stock units activity since December 31, 2025:</w:t>
      </w:r>
    </w:p>
    <w:tbl>
      <w:tblPr>
        <w:tblW w:w="6596" w:type="dxa"/>
        <w:jc w:val="left"/>
        <w:tblInd w:w="0" w:type="dxa"/>
        <w:tblLayout w:type="fixed"/>
        <w:tblCellMar>
          <w:top w:w="28" w:type="dxa"/>
          <w:left w:w="28" w:type="dxa"/>
          <w:bottom w:w="28" w:type="dxa"/>
          <w:right w:w="28" w:type="dxa"/>
        </w:tblCellMar>
      </w:tblPr>
      <w:tblGrid>
        <w:gridCol w:w="1059"/>
        <w:gridCol w:w="930"/>
        <w:gridCol w:w="936"/>
        <w:gridCol w:w="347"/>
        <w:gridCol w:w="347"/>
        <w:gridCol w:w="355"/>
        <w:gridCol w:w="109"/>
        <w:gridCol w:w="109"/>
        <w:gridCol w:w="109"/>
        <w:gridCol w:w="553"/>
        <w:gridCol w:w="1339"/>
        <w:gridCol w:w="40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 grant date fair value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10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The weighted average grant-date fair value per share of restricted stock units granted during the three months ended June 30, 2026 and 2025 was $2.24 and $2.76, respectively, and during the six months ended June 30, 2026 and 2025 was $2.99</w:t>
      </w:r>
      <w:r>
        <w:rPr>
          <w:color w:val="000000"/>
        </w:rPr>
        <w:t xml:space="preserve"> </w:t>
      </w:r>
      <w:r>
        <w:rPr>
          <w:rFonts w:ascii="Times New Roman;serif" w:hAnsi="Times New Roman;serif"/>
          <w:b w:val="false"/>
          <w:color w:val="000000"/>
          <w:sz w:val="20"/>
        </w:rPr>
        <w:t xml:space="preserve">and $3.13, respectively. The total fair value of shares vested during the six months ended June 30, 2026 and 2025 was $3.2 million and $2.4 million,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2021, the board of directors adopted, and the Company’s stockholders approved, the 2021 Employee Stock Purchase Plan (the “2021 ESPP”), which became effective in connection with the IPO of Class A common stock. The aggregate number of shares of Class A common stock available for issuance under the 2021 ESPP is equal to (i) 400,000 shares and (ii) an annual increase for ten years on the first day of each calendar year beginning on January 1, 2022, equal to the lesser of (A) 1% of the aggregate number of shares of Class A common stock outstanding on the last day of the immediately preceding calendar year and (B) such smaller amount of shares as determined by the board of directors. No more than 6,300,000 shares of Class A common stock may be issued under the 2021 ESPP.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2021 ESPP, eligible employees may purchase shares of the Company’s common stock through payroll deductions of up to 15% of eligible compensation during an offering period. Generally, each offering period will be for 6 months as determined by the Company’s board of directors. In no event may an employee purchase more than 100,000 shares per offering period based on the closing price on the first trading date of an offering period or the last trading date of an offering period, or more than $25,000 worth of stock during any calendar year. The purchase price for shares to be purchased under the 2021 ESPP is 85% of the lesser of the market price of the Company’s common stock on the first trading date of an offering period or on any purchase date during an offering period (March 14 or September 14).</w:t>
      </w:r>
    </w:p>
    <w:p>
      <w:pPr>
        <w:pStyle w:val="TextBody"/>
        <w:bidi w:val="0"/>
        <w:spacing w:lineRule="auto" w:line="288" w:before="240" w:after="283"/>
        <w:ind w:left="0" w:right="0" w:firstLine="360"/>
        <w:jc w:val="left"/>
        <w:rPr/>
      </w:pPr>
      <w:r>
        <w:rPr>
          <w:rFonts w:ascii="Times New Roman;serif" w:hAnsi="Times New Roman;serif"/>
          <w:b w:val="false"/>
          <w:color w:val="000000"/>
          <w:sz w:val="20"/>
        </w:rPr>
        <w:t>During the six months ended June 30, 2026, there were 58,182 shares of Class A common stock purchased under the 2021 ESPP. The Company recognized less than $0.1 million of expense related to the 2021 ESPP for each of six months ended June 30, 2026 and 2025. As of June 30, 2026</w:t>
      </w:r>
      <w:r>
        <w:rPr>
          <w:rFonts w:ascii="Times New Roman;serif" w:hAnsi="Times New Roman;serif"/>
          <w:b w:val="false"/>
          <w:color w:val="000000"/>
          <w:sz w:val="20"/>
          <w:shd w:fill="FFFFFF" w:val="clear"/>
        </w:rPr>
        <w:t>, 1,511,651 sh</w:t>
      </w:r>
      <w:r>
        <w:rPr>
          <w:rFonts w:ascii="Times New Roman;serif" w:hAnsi="Times New Roman;serif"/>
          <w:b w:val="false"/>
          <w:color w:val="000000"/>
          <w:sz w:val="20"/>
        </w:rPr>
        <w:t>ares were available for future issuance under the 2021 ESPP.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shares issued to employees under the 2021 ESPP using the Black-Scholes option-pricing model. The following weighted average assumptions were used in the calculation of fair value of shares under the 2021 ESPP at the grant date for both the six months ended June 30, 2026 and 2025:</w:t>
      </w:r>
    </w:p>
    <w:tbl>
      <w:tblPr>
        <w:tblW w:w="5336" w:type="dxa"/>
        <w:jc w:val="left"/>
        <w:tblInd w:w="0" w:type="dxa"/>
        <w:tblLayout w:type="fixed"/>
        <w:tblCellMar>
          <w:top w:w="28" w:type="dxa"/>
          <w:left w:w="28" w:type="dxa"/>
          <w:bottom w:w="28" w:type="dxa"/>
          <w:right w:w="28" w:type="dxa"/>
        </w:tblCellMar>
      </w:tblPr>
      <w:tblGrid>
        <w:gridCol w:w="772"/>
        <w:gridCol w:w="676"/>
        <w:gridCol w:w="682"/>
        <w:gridCol w:w="109"/>
        <w:gridCol w:w="109"/>
        <w:gridCol w:w="109"/>
        <w:gridCol w:w="255"/>
        <w:gridCol w:w="256"/>
        <w:gridCol w:w="430"/>
        <w:gridCol w:w="172"/>
        <w:gridCol w:w="172"/>
        <w:gridCol w:w="172"/>
        <w:gridCol w:w="255"/>
        <w:gridCol w:w="256"/>
        <w:gridCol w:w="430"/>
        <w:gridCol w:w="109"/>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classified in the condensed consolidated statements of operations as follows (in thousands):</w:t>
      </w:r>
    </w:p>
    <w:tbl>
      <w:tblPr>
        <w:tblW w:w="8283" w:type="dxa"/>
        <w:jc w:val="left"/>
        <w:tblInd w:w="0" w:type="dxa"/>
        <w:tblLayout w:type="fixed"/>
        <w:tblCellMar>
          <w:top w:w="28" w:type="dxa"/>
          <w:left w:w="28" w:type="dxa"/>
          <w:bottom w:w="28" w:type="dxa"/>
          <w:right w:w="28" w:type="dxa"/>
        </w:tblCellMar>
      </w:tblPr>
      <w:tblGrid>
        <w:gridCol w:w="1247"/>
        <w:gridCol w:w="1099"/>
        <w:gridCol w:w="110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stock options held by employees and directors was $3.4 million, which is expected to be recognized over a weighted average period of 1.6 years. Additionally, unrecognized compensation expense related to unvested restricted stock units held by employees and directors was $8.5 million, which is expected to be recognized over a weighted average period of 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both the six months ended June 30, 2026 and 2025, the pretax losses incurred by the Company, as well as the research and development tax credits generated, received no corresponding tax benefit because the Company concluded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that it is more likely than not that the Company will be unable to realize the value of any resulting deferred tax assets. The Company will continue to assess its position in future periods to determine if it is appropriate to reduce a portion of its valuation allowance.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tax provision and the resulting effective tax rate for interim periods is determined based upon its estimated annual effective tax rate, adjusted for the effect of discrete items arising in that quarter. The income tax provision was generated from operations in Germany and Switzerland.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impact of such discrete items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both June 30, 2026 and December 31, 2025, the Company recorded a full valuation allowance against its net deferred tax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as prescribed by the tax laws of the jurisdictions in which it operates. In the normal course of business, the Company is subject to examination by U.S. federal, state and international jurisdictions, where applicable. There are currently no pending tax examinations in the U.S., and the Company has not received notice of examination from any jurisdictions in the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signed into law the One Big Beautiful Bill (“OBBB”) Act, introducing significant amendments to the U.S. Internal Revenue Code. The amendments include the permanent extension of certain individual, business, and international tax measures initially established under the 2017 Tax Cuts and Jobs Act, which were set to expire at the end of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OBBB permanently extends the 100% bonus depreciation of qualifying assets which is expected to accelerate the timing of depreciation deductions for these assets. The OBBB also permanently eliminates the requirement under Internal Revenue Code Section 174 to capitalize and amortize U.S.-based research and experimental expenditures over five years, making these expenditures fully deductible in the period incurred. The legislation did not have a material impact on the Company’s income tax expense for 2025, or for the period ended June 30, 2026, as the Company did not elect bonus depreciation.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 attributable to the common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Class A common stock and Class B common stock. Both share classes have the same rights to the Company’s earnings and neither of the classes have any prior or senior rights to dividends to the other share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449"/>
        <w:gridCol w:w="1250"/>
        <w:gridCol w:w="1268"/>
        <w:gridCol w:w="211"/>
        <w:gridCol w:w="764"/>
        <w:gridCol w:w="109"/>
        <w:gridCol w:w="109"/>
        <w:gridCol w:w="109"/>
        <w:gridCol w:w="109"/>
        <w:gridCol w:w="211"/>
        <w:gridCol w:w="764"/>
        <w:gridCol w:w="109"/>
        <w:gridCol w:w="109"/>
        <w:gridCol w:w="109"/>
        <w:gridCol w:w="109"/>
        <w:gridCol w:w="211"/>
        <w:gridCol w:w="764"/>
        <w:gridCol w:w="109"/>
        <w:gridCol w:w="109"/>
        <w:gridCol w:w="109"/>
        <w:gridCol w:w="109"/>
        <w:gridCol w:w="211"/>
        <w:gridCol w:w="764"/>
        <w:gridCol w:w="109"/>
        <w:gridCol w:w="109"/>
        <w:gridCol w:w="109"/>
        <w:gridCol w:w="109"/>
        <w:gridCol w:w="109"/>
        <w:gridCol w:w="109"/>
        <w:gridCol w:w="109"/>
        <w:gridCol w:w="109"/>
        <w:gridCol w:w="158"/>
      </w:tblGrid>
      <w:tr>
        <w:trPr/>
        <w:tc>
          <w:tcPr>
            <w:tcW w:w="144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Class A common shares outstanding—basic and diluted </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43,847,134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40,149,073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42,508,793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39,602,755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Class B common shares outstanding—basic and diluted </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4,718,811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shares for EPS—basic and diluted </w:t>
            </w:r>
          </w:p>
        </w:tc>
        <w:tc>
          <w:tcPr>
            <w:tcW w:w="10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48,346,663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44,648,602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47,008,322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44,321,566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attributable to Class A common stockholders—basic and diluted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attributable to Class B common stockholders—basic and diluted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which include stock options, restricted stock units, and common stock warrants,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tbl>
      <w:tblPr>
        <w:tblW w:w="6404" w:type="dxa"/>
        <w:jc w:val="left"/>
        <w:tblInd w:w="0" w:type="dxa"/>
        <w:tblLayout w:type="fixed"/>
        <w:tblCellMar>
          <w:top w:w="28" w:type="dxa"/>
          <w:left w:w="28" w:type="dxa"/>
          <w:bottom w:w="28" w:type="dxa"/>
          <w:right w:w="28" w:type="dxa"/>
        </w:tblCellMar>
      </w:tblPr>
      <w:tblGrid>
        <w:gridCol w:w="1431"/>
        <w:gridCol w:w="1262"/>
        <w:gridCol w:w="1267"/>
        <w:gridCol w:w="343"/>
        <w:gridCol w:w="343"/>
        <w:gridCol w:w="350"/>
        <w:gridCol w:w="109"/>
        <w:gridCol w:w="109"/>
        <w:gridCol w:w="109"/>
        <w:gridCol w:w="314"/>
        <w:gridCol w:w="314"/>
        <w:gridCol w:w="453"/>
      </w:tblGrid>
      <w:tr>
        <w:trPr/>
        <w:tc>
          <w:tcPr>
            <w:tcW w:w="143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7,100,826</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3,174,572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284,165</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under ESPP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21,752,578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10,655,777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Leases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 </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made an accounting policy election not to recognize right-of-use (“ROU”) assets and lease liabilities for leases with a term of 12 months or less. For all other leases, the Company recognizes ROU assets and lease liabilities based on the present value of lease payments over the lease term at the commencement date of the lease. Lease payments may include fixed rent escalation clauses or payments that depend on an index (such as the consumer price index). Subsequent changes to an index and any other periodic market-rate adjustments to base rent are recorded in variable lease expense in the period incurred. The ROU assets also include any initial direct costs incurred and lease payments made at or before the commencement date and are reduced by any lease incentives.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made an accounting policy election to account for lease and non-lease components in its contracts as single lease components for all asset classes. The non-lease components typically represent additional services transferred to the Company, such as common area maintenance for real estate, which are variable in nature and recorded in variable lease expense in the period incurred.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its incremental borrowing rate which is the rate of interest the Company would have to pay to borrow on a collateralized basis over a similar term and amount in a similar economic environment to determine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 as the Company’s leases do not have a readily determinable implicit discount rate. Judgment is applied in assessing factors such as Company specific credit risk, lease term, nature, and quality of the underlying collateral, currency, and economic environment in determining the incremental borrowing rate to apply to each lease. Although the Company has entered into new debt arrangements with different interest rates, such changes do not impact the incremental borrowing rates applied to existing leases, as those rates are established at lease commencement and are not subsequently updated unless a lease is modified or remeasured.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office and manufacturing space under operating lease agreements that have initial terms ranging from approximately 8 to 10 years. The Company leases furniture under a financing lease agreement that has an initial term of approximately 8 years. The furniture financing lease agreement is immaterial to the Company’s condensed consolidated financial statements. Some leases include one or more options to renew, generally at the Company’s sole discretion, with renewal terms that can extend the lease term by up to 5 years. In addition, certain leases contain termination options, where the rights to terminate are held by either the Company, the lessor, or both parties. Options to extend a lease are included in the lease term when it is reasonably certain that the Company will exercise the option. Options to terminate a lease are excluded from the lease term when it is reasonably certain that the Company will not exercise the option. The Company’s leases generally do not contain any material restrictive covenants or residual value guarantees.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(in thousands):</w:t>
      </w:r>
    </w:p>
    <w:tbl>
      <w:tblPr>
        <w:tblW w:w="7676" w:type="dxa"/>
        <w:jc w:val="left"/>
        <w:tblInd w:w="0" w:type="dxa"/>
        <w:tblLayout w:type="fixed"/>
        <w:tblCellMar>
          <w:top w:w="28" w:type="dxa"/>
          <w:left w:w="28" w:type="dxa"/>
          <w:bottom w:w="28" w:type="dxa"/>
          <w:right w:w="28" w:type="dxa"/>
        </w:tblCellMar>
      </w:tblPr>
      <w:tblGrid>
        <w:gridCol w:w="2018"/>
        <w:gridCol w:w="1769"/>
        <w:gridCol w:w="1778"/>
        <w:gridCol w:w="229"/>
        <w:gridCol w:w="507"/>
        <w:gridCol w:w="118"/>
        <w:gridCol w:w="118"/>
        <w:gridCol w:w="118"/>
        <w:gridCol w:w="118"/>
        <w:gridCol w:w="229"/>
        <w:gridCol w:w="507"/>
        <w:gridCol w:w="167"/>
      </w:tblGrid>
      <w:tr>
        <w:trPr/>
        <w:tc>
          <w:tcPr>
            <w:tcW w:w="201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 payments on operating leases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 payments on financing leases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 payments on financing leases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and financing leases is as follows (in thousands):</w:t>
      </w:r>
    </w:p>
    <w:tbl>
      <w:tblPr>
        <w:tblW w:w="8636" w:type="dxa"/>
        <w:jc w:val="left"/>
        <w:tblInd w:w="0" w:type="dxa"/>
        <w:tblLayout w:type="fixed"/>
        <w:tblCellMar>
          <w:top w:w="28" w:type="dxa"/>
          <w:left w:w="28" w:type="dxa"/>
          <w:bottom w:w="28" w:type="dxa"/>
          <w:right w:w="28" w:type="dxa"/>
        </w:tblCellMar>
      </w:tblPr>
      <w:tblGrid>
        <w:gridCol w:w="2041"/>
        <w:gridCol w:w="1793"/>
        <w:gridCol w:w="1806"/>
        <w:gridCol w:w="216"/>
        <w:gridCol w:w="631"/>
        <w:gridCol w:w="277"/>
        <w:gridCol w:w="109"/>
        <w:gridCol w:w="109"/>
        <w:gridCol w:w="109"/>
        <w:gridCol w:w="285"/>
        <w:gridCol w:w="833"/>
        <w:gridCol w:w="427"/>
      </w:tblGrid>
      <w:tr>
        <w:trPr/>
        <w:tc>
          <w:tcPr>
            <w:tcW w:w="2041"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short-term</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fixtures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short-term</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long-term</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financing lease liabilities</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 (in years):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financing leases (in years):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financing leases: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9626" w:type="dxa"/>
        <w:jc w:val="left"/>
        <w:tblInd w:w="0" w:type="dxa"/>
        <w:tblLayout w:type="fixed"/>
        <w:tblCellMar>
          <w:top w:w="28" w:type="dxa"/>
          <w:left w:w="28" w:type="dxa"/>
          <w:bottom w:w="28" w:type="dxa"/>
          <w:right w:w="28" w:type="dxa"/>
        </w:tblCellMar>
      </w:tblPr>
      <w:tblGrid>
        <w:gridCol w:w="1661"/>
        <w:gridCol w:w="1459"/>
        <w:gridCol w:w="1470"/>
        <w:gridCol w:w="251"/>
        <w:gridCol w:w="556"/>
        <w:gridCol w:w="130"/>
        <w:gridCol w:w="130"/>
        <w:gridCol w:w="130"/>
        <w:gridCol w:w="130"/>
        <w:gridCol w:w="251"/>
        <w:gridCol w:w="556"/>
        <w:gridCol w:w="130"/>
        <w:gridCol w:w="109"/>
        <w:gridCol w:w="109"/>
        <w:gridCol w:w="109"/>
        <w:gridCol w:w="385"/>
        <w:gridCol w:w="231"/>
        <w:gridCol w:w="224"/>
        <w:gridCol w:w="224"/>
        <w:gridCol w:w="224"/>
        <w:gridCol w:w="224"/>
        <w:gridCol w:w="385"/>
        <w:gridCol w:w="231"/>
        <w:gridCol w:w="317"/>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cost - amortization of right-of-use asset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cost - interest on lease liability</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cost is recognized on a straight-line basis over the lease term. Total rent expense, including the Company’s share of the lessors’ operating expenses, was $0.5 million for each of the three months ended June 30, 2026 and 2025, and was $1.0 million for each of the six months ended June 30, 2026 and 2025. Financing lease cost includes asset amortization on a straight-line basis over the lease term and interest accretion calculated using the effective interest method. Total financing lease asset depreciation and interest expense was less than $0.1 million for each of the three and six months ended June 30, 2026 and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liabilities as of June 30, 2026 were as follows (in thousands):</w:t>
      </w:r>
    </w:p>
    <w:tbl>
      <w:tblPr>
        <w:tblW w:w="6118" w:type="dxa"/>
        <w:jc w:val="left"/>
        <w:tblInd w:w="0" w:type="dxa"/>
        <w:tblLayout w:type="fixed"/>
        <w:tblCellMar>
          <w:top w:w="28" w:type="dxa"/>
          <w:left w:w="28" w:type="dxa"/>
          <w:bottom w:w="28" w:type="dxa"/>
          <w:right w:w="28" w:type="dxa"/>
        </w:tblCellMar>
      </w:tblPr>
      <w:tblGrid>
        <w:gridCol w:w="1438"/>
        <w:gridCol w:w="1264"/>
        <w:gridCol w:w="1272"/>
        <w:gridCol w:w="461"/>
        <w:gridCol w:w="1347"/>
        <w:gridCol w:w="336"/>
      </w:tblGrid>
      <w:tr>
        <w:trPr/>
        <w:tc>
          <w:tcPr>
            <w:tcW w:w="143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 Maturities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8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financing lease liability as of June 30, 2026 were as follows (in thousands):</w:t>
      </w:r>
    </w:p>
    <w:tbl>
      <w:tblPr>
        <w:tblW w:w="6088" w:type="dxa"/>
        <w:jc w:val="left"/>
        <w:tblInd w:w="0" w:type="dxa"/>
        <w:tblLayout w:type="fixed"/>
        <w:tblCellMar>
          <w:top w:w="28" w:type="dxa"/>
          <w:left w:w="28" w:type="dxa"/>
          <w:bottom w:w="28" w:type="dxa"/>
          <w:right w:w="28" w:type="dxa"/>
        </w:tblCellMar>
      </w:tblPr>
      <w:tblGrid>
        <w:gridCol w:w="1438"/>
        <w:gridCol w:w="1264"/>
        <w:gridCol w:w="1272"/>
        <w:gridCol w:w="535"/>
        <w:gridCol w:w="1185"/>
        <w:gridCol w:w="394"/>
      </w:tblGrid>
      <w:tr>
        <w:trPr/>
        <w:tc>
          <w:tcPr>
            <w:tcW w:w="143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Lease Maturities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7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Supplier agreements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has entered, and may in the future enter, into agreements with suppliers that may require the Company to purchase or pay minimum or fixed amounts over the duration of the agreement. The Company currently has minimum purchase commitments of $1.5 million and $2.3 million expected to be incurred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remainder of 2026 and 2027, respectively, under such agreements. These commitments are accrued as a liability when it is probable that a related future expenditure will be made, and such expenditure can be reasonably estimated.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customers,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has not accrued any liabilities related to such obligations in its condensed consolidated financial statements as of June 30, 2026 and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any material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legal proceedings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Benefit plans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defined contribution savings plan under Section 401(k) of the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$0.2 million and $0.5 million to the plan during the three months ended June 30, 2026 and 2025, respectively, and made contributions of $0.5 million and $1.1 million to the plan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2026, the Company completed an enterprise-wide review of opportunities to realize operational efficiencies. Based on the results of this review, the Company is implementing certain cost actions including a reduction in the Company’s current workforce, the closure of certain open and planned positions, and reductions in other non-headcount-related expenses across the business. The Company expects to record a related charge of approximately $0.4 million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consolidated condensed financial statements and the related notes appearing elsewhere in this Quarterly Report on Form 10-Q and our audited Consolidated Financial Statements and related notes thereto for the year ended December 31, 2025, included in the Annual Report on Form 10-K for the fiscal year ended December 31, 2025, filed with the SEC on March 12, 2026 (the “2025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an innovative life sciences technology company that enables the safe and efficient manufacture of pharmaceutical products through our rapid automated microbial quality control (“MQC”) detection platform. We develop, manufacture, market and sell the Growth Direct system and related proprietary consumables, and value-added services to enable rapid MQC testing in the manufacture of biologics and cell and gene therapies, vaccines, sterile injectables, and other healthcare products. Our system delivers the power of industrial automation to bioprocessing and pharmaceutical manufacturing firms by modernizing and digitizing their MQC operations. Our Growth Direct platform, developed with over 15 years of active feedback from our customers, was purpose-built to meet the growing demands posed by the increasing scale, complexity, and regulatory scrutiny confronting global pharmaceutical manufacturing. Our Growth Direct platform comprises the Growth Direct system, optional laboratory information management system (“LIMS”) connection software (which the majority of our customers purchase), proprietary consumables, and comprehensive field service, validation services and post-warranty service contracts. Once embedded and validated in our customers’ facilities, our Growth Direct platform provides for recurring revenues through ongoing sales of consumables and service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fully automates and digitizes the process of pharmaceutical MQC and is designed to enable our customers to perform this critical testing process more efficiently, accurately, and securely. Our Growth Direct platform accelerates time to results by 50% or more compared to the traditional method, and reduces MQC testing to a simple two-step workflow, eliminating up to 85% of the manual steps of traditional MQC, generating significant time, operational, and cost savings for our customers. We seek to establish the Growth Direct as the trusted global standard in automated MQC by delivering the speed, accuracy, security, and data integrity compliance that our customers depend on to ensure patient safety and consistent drug supply.</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we have devoted a majority of our resources to designing, developing, and building our proprietary Growth Direct platform and associated products, launching our Growth Direct platform commercially, expanding our sales and marketing infrastructure to grow our sales, building global customer service and support teams to deliver our value-added services, investing in robust manufacturing and supply chain operations to serve our customers globally, and providing general and administrative support for these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May 2026 we issued and sold to certain investors in an underwritten public offering (i) 3,581,000 shares (the “Shares”) of Class A common stock and accompanying Series A warrants (“Series A Warrants”) to purchase an aggregate of 3,581,000 shares of Class A common stock and Series B warrants (“Series B Warrants”) to purchase an aggregate of 3,581,000 shares of Class A common stock, and, (ii) pre-funded warrants to purchase an aggregate of up to 1,463,000 shares of Class A common stock (the “Pre-Funded Warrants”) and accompanying Series A Warrants to purchase an aggregate of 1,463,000 shares of Class A common stock at an exercise price of $1.955 per share and Series B Warrants to purchase an aggregate of 1,463,000 shares of Class A common stock at an exercise price of $2.340 per share. Each Share was offered and sold together with an accompanying Series A Common Stock Warrant and a Series B Common Stock Warrant at a combined offering price of $1.955, and each Pre-Funded Warrant was offered and sold together with an accompanying Series A Common Stock Warrant and a Series B Common Stock Warrant at a combined offering price of $1.945.</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Concurrently, we also issued and sold to certain of our directors and officers in a registered direct offering 71,607 shares of Class A common stock and accompanying Series A Warrants to purchase an aggregate of 71,607 shares of Class A common stock with an exercise price of $1.955 per share and Series B Warrants to purchase an aggregate of 71,607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shares of Class A common stock with an exercise price of $2.34 per share. Each Share was offered and sold together with an accompanying Series A Warrant and a Series B Warrant at a combined offering price of $1.955.</w:t>
      </w:r>
      <w:r>
        <w:rPr>
          <w:color w:val="000000"/>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lieu of exercising warrants from the underwritten and registered direct offerings for Class A common stock, holders may exercise instead for the equivalent number of pre-funded warrants.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Proceeds</w:t>
      </w:r>
      <w:r>
        <w:rPr>
          <w:color w:val="000000"/>
        </w:rPr>
        <w:t xml:space="preserve"> </w:t>
      </w:r>
      <w:r>
        <w:rPr>
          <w:rFonts w:ascii="Times New Roman;serif" w:hAnsi="Times New Roman;serif"/>
          <w:b w:val="false"/>
          <w:color w:val="000000"/>
          <w:sz w:val="20"/>
        </w:rPr>
        <w:t>received from the underwritten and registered direct offerings, net of underwriting discounts and estimated third-party fees were $8.8 million and $0.1 million,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generated revenue of $8.1 million and $7.3 million for the three months ended June 30, 2026 and 2025, respectively, and incurred net losses of $12.9 million and $11.9 million for those same periods,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cash equivalents and investments as of June 30, 2026 and additional borrowing capacity expected to become under the LSA that is subject to the satisfaction of certain commercial and operational milestones and other conditions will be sufficient to fund our operating expenses and capital expenditure requirements for at least 12 months following the issuance date of the unaudited interim condensed consolidated financial statements contained in this Quarterly Report on Form 10-Q for the quarter ended June 30, 2026. Access to the first additional tranche under the LSA is expected in January 2027 after initial satisfaction of certain revenue and gross margin metrics in the six months ending December 31, 2026. We have based this estimate on assumptions that may prove to be wrong, and we could exhaust our available capital resources sooner than we expect. See “Liquidity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MilliporeSigma partnership</w:t>
      </w:r>
    </w:p>
    <w:p>
      <w:pPr>
        <w:pStyle w:val="TextBody"/>
        <w:bidi w:val="0"/>
        <w:spacing w:lineRule="auto" w:line="26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entered into a Distribution and Collaboration Agreement (the “Distribution Agreement”) with Millipore S.A.S., a subsidiary of the Life Science business of Merck KGaA, Darmstadt, Germany, which operates in the U.S. as MilliporeSigma (“MilliporeSigma”). Pursuant to the Distribution Agreement, we granted MilliporeSigma a global, co-exclusive right to sell our products, initially consisting of our Growth Direct systems and related consumables, into all fields related to industrial quality control applications in the pharmaceutical, medical device, personal care, cosmetics and food and beverage spaces in all regions of the world. During the term of the Distribution Agreement, MilliporeSigma will receive tier-based transfer pricing on such products. We will continue to directly market, sell, manufacture and distribute our products and provide all services to customers, including in respect of system installation, validation, maintenance and support.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first two years of the Distribution Agreement, MilliporeSigma has committed to purchase a minimum number of Growth Direct systems. Thereafter, we and MilliporeSigma will evaluate and mutually agree on additional purchase commitments, if any. Pursuant to the Distribution Agreement, we are permitted to continue to sell our products independently and through our existing distributors, but we may not grant the right to sell the products covered by the Distribution Agreement to other third parties so long as a purchase commitment by MilliporeSigma is in place. The initial term of the Distribution Agreement is five years, unless earlier terminated by us or MilliporeSigma in accordance with its terms.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Distribution Agreement also contemplates future collaboration by the parties, including with respect to sourcing materials and service delivery. In that regard, the parties are negotiating towards a supply agreement, pursuant to which the parties are exploring cost-saving measures within our supply chain focused on accelerating gross margin improvement, particularly with respect to consumables. The focus of such supply agreement may include raw materials and components as well as manufacturing and supply chain services. The parties intend to share in any cost savings achieved in the supply of the products through this supply agreement. Additionally, the parties have signed a services agreement which permits MilliporeSigma to engage us to provide certain of our services to their customers. The parties also intend to explore additional opportunities for collaboration, such as joint development efforts for the enhancement of our products or introducing new products to be covered by the distribution arrangement. We expect to make incremental investments in our manufacturing and service organizations as our sales volumes increase over time, including as a result of increased sales volumes related to the Distribution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financial performance has been, and in the foreseeable future will continue to be, primarily driven by multiple factors as described below, each of which presents growth opportunities and challenges for our business. Our ability to successfully address these opportunities and challenges is subject to various risks and uncertainties, including those described under the heading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customer adoption of the Growth Direct platform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performance has largely been driven by, and a key factor to our future success will be, our ability to increase the global adoption of our Growth Direct platform in our key markets. We plan to drive global customer adoption through both direct and indirect sales and marketing organizations in North America, Europe, and the Asia-Pacific region.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focused on enhancing customer engagement and experience and improving the efficiency and effectiveness of our sales team. We are making targeted investments in these organizations and expect to continue to do so in the future. Examples of these investments include new tools and training for the sales organization, targeted marketing initiatives, expanding lead generation capabilities and hosting Growth Direct demonstrations and other customer-focused 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Expansion within our existing customer base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an opportunity to broaden adoption and increase utilization of our Growth Direct platform throughout our existing customers’ organizations as our existing customers purchase more systems. These additional systems will allow our existing customers to convert more of their test volume at existing locations, to support multiple locations, to meet redundancy requirements, or to increase capacity. As of June 30, 2026, over 40% of our customers have purchased Growth Direct systems for multiple sites, and nearly 60% of our customers have purchased multiple Growth Direct systems. Increased utilization amongst existing customers can also occur as customers advance through the Growth Direct platform adoption cycle, from early validation of initial applications to validation and conversion of multiple applications on the Growth Direct platform, or as the result of new product approvals or increases in their manufacturing volumes for existing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mix</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 is derived from sales of our Growth Direct systems, our LIMS connection and other software, proprietary consumables, and services. Growth Direct system revenue involves a capital selling process and tends to be somewhat concentrated within a relatively small (but varied) group of customers each year, so it is subject to variability from quarter to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 improvement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have made significant investments to build infrastructure and develop capabilities in areas such as procurement, manufacturing, distribution, quality and after-sales service. Given our current business scale, our revenues are not yet sufficient to fully cover these costs, impacting our current gross margin profile. For additional information, see </w:t>
      </w:r>
      <w:r>
        <w:rPr>
          <w:rFonts w:ascii="Times New Roman;serif" w:hAnsi="Times New Roman;serif"/>
          <w:b w:val="false"/>
          <w:i/>
          <w:color w:val="000000"/>
          <w:sz w:val="20"/>
        </w:rPr>
        <w:t>Item 1. Business - Gross margin improvement</w:t>
      </w:r>
      <w:r>
        <w:rPr>
          <w:color w:val="000000"/>
        </w:rPr>
        <w:t xml:space="preserve"> </w:t>
      </w:r>
      <w:r>
        <w:rPr>
          <w:rFonts w:ascii="Times New Roman;serif" w:hAnsi="Times New Roman;serif"/>
          <w:b w:val="false"/>
          <w:color w:val="000000"/>
          <w:sz w:val="20"/>
        </w:rPr>
        <w:t>included in our Annual Report on Form 10-K.</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have experienced positive trends in gross margin percentage, improving from (24.4)% to (0.4)% to 3.1% for the years ended December 31, 2023, 2024 and 2025, respectively, from 3.8% to 15.0%</w:t>
      </w:r>
      <w:r>
        <w:rPr>
          <w:color w:val="000000"/>
        </w:rPr>
        <w:t xml:space="preserve"> </w:t>
      </w:r>
      <w:r>
        <w:rPr>
          <w:rFonts w:ascii="Times New Roman;serif" w:hAnsi="Times New Roman;serif"/>
          <w:b w:val="false"/>
          <w:color w:val="000000"/>
          <w:sz w:val="20"/>
        </w:rPr>
        <w:t xml:space="preserve">for the three months ended June 30, 2025 and June 30, 2026, respectively, and from 4.7% to 9.9% for the six months ended June 30, 2025 and June 30, 2026, respectively. While we expect our gross margin percentage to continue to trend positively in the future, expansion in future periods may </w:t>
      </w:r>
      <w:r>
        <w:rPr>
          <w:rFonts w:ascii="Times New Roman;serif" w:hAnsi="Times New Roman;serif"/>
          <w:b w:val="false"/>
          <w:color w:val="000000"/>
          <w:sz w:val="20"/>
          <w:shd w:fill="FFFFFF" w:val="clear"/>
        </w:rPr>
        <w:t>not be linear and is subject to variability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review the following key business metrics to evaluate our business, measure our performance, identify trends affecting our business, formulate financial projections and make strategic decisions. We believe that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metrics are representative of our current business; however, we anticipate these may change or be substituted for additional or different metrics as our business grows and evolves.</w:t>
      </w:r>
    </w:p>
    <w:tbl>
      <w:tblPr>
        <w:tblW w:w="8054" w:type="dxa"/>
        <w:jc w:val="left"/>
        <w:tblInd w:w="0" w:type="dxa"/>
        <w:tblLayout w:type="fixed"/>
        <w:tblCellMar>
          <w:top w:w="28" w:type="dxa"/>
          <w:left w:w="28" w:type="dxa"/>
          <w:bottom w:w="28" w:type="dxa"/>
          <w:right w:w="28" w:type="dxa"/>
        </w:tblCellMar>
      </w:tblPr>
      <w:tblGrid>
        <w:gridCol w:w="1238"/>
        <w:gridCol w:w="1087"/>
        <w:gridCol w:w="1095"/>
        <w:gridCol w:w="217"/>
        <w:gridCol w:w="634"/>
        <w:gridCol w:w="112"/>
        <w:gridCol w:w="112"/>
        <w:gridCol w:w="112"/>
        <w:gridCol w:w="112"/>
        <w:gridCol w:w="217"/>
        <w:gridCol w:w="634"/>
        <w:gridCol w:w="112"/>
        <w:gridCol w:w="109"/>
        <w:gridCol w:w="109"/>
        <w:gridCol w:w="109"/>
        <w:gridCol w:w="211"/>
        <w:gridCol w:w="466"/>
        <w:gridCol w:w="109"/>
        <w:gridCol w:w="109"/>
        <w:gridCol w:w="109"/>
        <w:gridCol w:w="109"/>
        <w:gridCol w:w="307"/>
        <w:gridCol w:w="309"/>
        <w:gridCol w:w="316"/>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placed:</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placed in period</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systems placed</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validated:</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validated in period</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systems validated</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 total</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 recurring</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246" w:type="dxa"/>
        <w:jc w:val="left"/>
        <w:tblInd w:w="0" w:type="dxa"/>
        <w:tblLayout w:type="fixed"/>
        <w:tblCellMar>
          <w:top w:w="28" w:type="dxa"/>
          <w:left w:w="28" w:type="dxa"/>
          <w:bottom w:w="28" w:type="dxa"/>
          <w:right w:w="28" w:type="dxa"/>
        </w:tblCellMar>
      </w:tblPr>
      <w:tblGrid>
        <w:gridCol w:w="1238"/>
        <w:gridCol w:w="1087"/>
        <w:gridCol w:w="109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316"/>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placed: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placed in period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systems placed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validated: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validated in period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systems validated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 total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 recurring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Growth Direct system placements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 Growth Direct system to be “placed” upon transfer of control of the system to the customer, at which point the revenue for that system is recognized. We regularly review the number of Growth Direct systems placed and cumulative Growth Direct system placements in each period as a leading indicator of our business performance. Our revenue has historically been driven by, and in the future will continue to be impacted by, the rate of Growth Direct system placements as a reflection of our success selling and delivering our products. We expect our Growth Direct system placements to continue to grow over time as we increase penetration in our existing markets and expand into new markets.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number of Growth Direct system placements and rate of growth varies from period-to-period due to factors including, but not limited to, Growth Direct system order volume and timing as well as access to customer sites (including the timing of customer site construction activities). As a result, we expect to experience continued variability in our period-to-period number of Growth Direct system placements due to the aforementioned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Validated systems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review the number of Growth Direct systems validated and cumulative Growth Direct systems validated in each period as indicators of our business performance. Management focuses on validated Growth Direct systems as a leading indicator of likely future recurring revenue as well as a reflection of our success supporting our customers in validating placed systems. We expect our validated Growth Direct systems to continue to grow over time as we increase our base of cumulative systems placed and then install and validate those systems. After a Growth Direct system is placed with a customer and installed, we work with the customer to validate the system, which typically has taken anywhere from three to nine months. Once a validation has been completed, we generally expect our customers to transition from their legacy manual method to our automated method and begin regular utilization of consumables over a period of up to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months after the validation is completed. However, the timeline for such transition may be longer depending on the specific circumstances of each individual customer. In addition, in exceptional cases, we have reacquired Growth Direct systems from customers that were previously placed and, in some cases, previously validated. Our metrics showing cumulative systems placed and cumulative systems validated are not reduced to reflect these reacquired systems.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number of validated Growth Direct systems and rate of growth varies from period-to-period due to factors including, but not limited to, Growth Direct system placement volume and timing, whether customers have previously validated Growth Direct systems within their site or global network, access to customer sites, customer site readiness, availability of required customer personnel and the time to install and validate each individual system. As a result, we expect to experience continued fluctuations in our period-to-period number of Growth Direct systems validated due to the aforementioned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Recurring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assess trends relating to our recurring revenue, which is the revenue from consumables and service contracts, based on our product offerings, our customer base and our understanding of how our customers use our products. Recurring revenue was 62.7% and 60.9% of our total revenue for the three months ended June 30, 2026 and 2025, respectively. Recurring revenue was 63.0% and 58.0% for the six months ended June 30, 2026 and 2025, respectively. Our recurring revenue as a percentage of the total product and service revenue will generally vary based upon the cumulative number of validated Growth Direct systems in the period, as well as other variables such as the volume of tests being conducted and the test application(s) being used on customers’ Growth Direct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revenue from sales of our Growth Direct system (including our LIMS connection and other software), consumables, validation services, service contracts, and field service. We sell our products and services directly to customers and through distributors. Our sales arrangements are noncancellable and nonrefundable after ownership passes to the customer.</w:t>
      </w:r>
    </w:p>
    <w:tbl>
      <w:tblPr>
        <w:tblW w:w="9005" w:type="dxa"/>
        <w:jc w:val="left"/>
        <w:tblInd w:w="0" w:type="dxa"/>
        <w:tblLayout w:type="fixed"/>
        <w:tblCellMar>
          <w:top w:w="28" w:type="dxa"/>
          <w:left w:w="28" w:type="dxa"/>
          <w:bottom w:w="28" w:type="dxa"/>
          <w:right w:w="28" w:type="dxa"/>
        </w:tblCellMar>
      </w:tblPr>
      <w:tblGrid>
        <w:gridCol w:w="521"/>
        <w:gridCol w:w="459"/>
        <w:gridCol w:w="460"/>
        <w:gridCol w:w="602"/>
        <w:gridCol w:w="1757"/>
        <w:gridCol w:w="311"/>
        <w:gridCol w:w="109"/>
        <w:gridCol w:w="109"/>
        <w:gridCol w:w="109"/>
        <w:gridCol w:w="307"/>
        <w:gridCol w:w="309"/>
        <w:gridCol w:w="508"/>
        <w:gridCol w:w="109"/>
        <w:gridCol w:w="109"/>
        <w:gridCol w:w="109"/>
        <w:gridCol w:w="362"/>
        <w:gridCol w:w="1056"/>
        <w:gridCol w:w="187"/>
        <w:gridCol w:w="109"/>
        <w:gridCol w:w="109"/>
        <w:gridCol w:w="109"/>
        <w:gridCol w:w="307"/>
        <w:gridCol w:w="309"/>
        <w:gridCol w:w="569"/>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of total</w:t>
              <w:br/>
              <w:t>revenue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3" w:type="dxa"/>
        <w:jc w:val="left"/>
        <w:tblInd w:w="0" w:type="dxa"/>
        <w:tblLayout w:type="fixed"/>
        <w:tblCellMar>
          <w:top w:w="28" w:type="dxa"/>
          <w:left w:w="28" w:type="dxa"/>
          <w:bottom w:w="28" w:type="dxa"/>
          <w:right w:w="28" w:type="dxa"/>
        </w:tblCellMar>
      </w:tblPr>
      <w:tblGrid>
        <w:gridCol w:w="521"/>
        <w:gridCol w:w="459"/>
        <w:gridCol w:w="460"/>
        <w:gridCol w:w="501"/>
        <w:gridCol w:w="1714"/>
        <w:gridCol w:w="259"/>
        <w:gridCol w:w="109"/>
        <w:gridCol w:w="109"/>
        <w:gridCol w:w="109"/>
        <w:gridCol w:w="307"/>
        <w:gridCol w:w="309"/>
        <w:gridCol w:w="508"/>
        <w:gridCol w:w="109"/>
        <w:gridCol w:w="109"/>
        <w:gridCol w:w="109"/>
        <w:gridCol w:w="285"/>
        <w:gridCol w:w="977"/>
        <w:gridCol w:w="147"/>
        <w:gridCol w:w="109"/>
        <w:gridCol w:w="109"/>
        <w:gridCol w:w="109"/>
        <w:gridCol w:w="307"/>
        <w:gridCol w:w="309"/>
        <w:gridCol w:w="569"/>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of total</w:t>
              <w:br/>
              <w:t>revenue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Product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 product revenue primarily from the sale of our Growth Direct systems and related consumables as well as our LIMS connection software, which the majority of our customers purchase. As of June 30, 2026, we had placed 200 Growth Direct systems with approximately 50 customers globally, including 75% of the top 20 largest pharmaceutical companies as measured by revenue, and the manufacturers of a number of globally approved cell and gene therapies, including manufacturers of 86% of approved gene-modified autologous CAR-T cell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Growth Direct systems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Growth Direct system revenue is a non-recurring product revenue stream that we recognize as revenue upon transfer of control of the system to the customer. The Growth Direct system is fully functional for use by the customer upon delivery. Although we do not require our customers to use our installation and validation services, our customers typically elect to purchase those services from us. As such, transfer of control occurs at shipment or delivery depending on contractual terms.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our Growth Direct system revenue to continue to grow over time as we increase system placements into our existing customers and markets and expand into new customers, markets and products. For instance, we announced the receipt of large, multi-system customer orders from Amgen and Samsung Biologics that contributed to our results for the quarters ended December 31, 2025 and March 31, 2026,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Consumables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consumable revenue is a recurring product revenue stream composed of three proprietary consumables to capture test samples for analysis on the Growth Direct system, an Environmental Monitoring (“EM”) consumable, consumables for use in Water or Bioburden (“W/BB”) applications, and a Sterility (“ST”) consumable. Our proprietary consumables support the growth-based compendial method for MQC testing mandated by global regulators and provide results that are comparable to traditional consumables. Our consumables are designed with features that enable automation on the Growth Direct system, with bar coding for tracking and data integrity, and physical characteristics for robotic handling, to support vision detection, and to prevent counterfeiting.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consumable revenue to increase in future periods as our base of cumulative validated Growth Direct systems grows and those systems enter routine use and utilize our consumables on a recurring, ongoing basis.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LIMS connection and other software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LIMS connection software is a non-recurring product revenue stream. Although optional, the majority of our customers elect to purchase this software, which allows Growth Direct systems to export result reports and securely link to a customer’s two-way LIMS connection software to completely eliminate manual data entry and drive productivity.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offer other software to our customers for use with our Growth Direct platform that adds features or expands capabilities, such as our Mold Alarm software.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our sales of Growth Direct systems increase in future periods, we would also expect LIMS connection and other software revenue to increase.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 service revenue from validation services, field service including installations, and service contracts sold to our customers. Revenue from validation services and field service are non-recurring service revenue streams, while revenue from service contracts is a recurring service revenue stream.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customers validation services (including related documentation) that enable them to replace their existing manual testing method and utilize their Growth Direct systems in compliance with relevant MQC regulations. Validation services are recognized as revenue over time as these services are provided to the customer.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customers service contracts that can be purchased after the expiration of the one-year assurance warranty that all of our customers receive with the purchase of a Growth Direct system. Under these contracts, they are entitled to receive phone support, emergency on-site maintenance support and preventative maintenance visits. These service contracts generally have fixed fees and a term of one year. We recognize revenue from the sale of service contracts over time as these services are provided over the respective contract term.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offer our customers field service which primarily consists of services provided by our field service engineers to install Growth Direct systems at customer sites. We recognize revenue from field service over time as these services are provided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service revenue to increase in future periods as the number of placed and validated Growth Direct systems grows and we are able to generate increasing non-recurring revenue from validation services and field service for newly placed systems and increasing recurring revenue from service contracts for validated systems.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revenue, gross margin, and gross margin percentage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revenue primarily consists of costs for raw material parts and associated freight, shipping and handling costs, salaries and other personnel costs including non-cash stock-based compensation expense, contract manufacturer costs, scrap, warranty cost, inventory reserves, non-cash depreciation and amortization expense, allocated information technology and facility-related costs, overhead and other costs related to those sales recognized as product revenue in the period.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service revenue primarily consists of salaries and other personnel costs including non-cash stock-based compensation expense, travel costs, materials consumed when performing installations, validations and other services, allocated information technology and facility-related costs, costs associated with training, and other expenses related to service revenue recognized in the period.</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future periods, we expect our costs of revenue to increase or decrease commensurate with product and service volumes. Such costs may be further impacted by our ongoing efforts to reduce product costs and increase manufacturing productivity and efficiencies as well as service productivity. In addition, our product costs may be adversely impacted by recently enacted and potential future tariffs by the U.S. and other jurisdictions in which we conduct business. Disruptions to international logistics and to the supply and cost of fuel resulting from recent conflicts in the Middle East also can contribute to increases in our costs. While we do not expect such impacts on our costs to rise to levels that are material to our results of operations in the near-term, future changes in policies and other macroeconomic conditions could materially and adversely affect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is calculated as revenue less cost of revenue. Gross margin percentage is gross margin expressed as a percentage of revenue. Our gross margin in future periods will depend on a variety of factors, including market conditions that may impact our pricing, sales mix among systems, consumables, and services, excess and obsolete inventories, our cost structure for manufacturing operations relative to volume, and product warranty obligations.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expect that our gross margin percentage will increase over time as our future revenues from both products and services grow at rates significantly higher than the costs related to providing and supporting those products and services. However, expansion in gross margin percentage in future periods may </w:t>
      </w:r>
      <w:r>
        <w:rPr>
          <w:rFonts w:ascii="Times New Roman;serif" w:hAnsi="Times New Roman;serif"/>
          <w:b w:val="false"/>
          <w:color w:val="000000"/>
          <w:sz w:val="20"/>
          <w:shd w:fill="FFFFFF" w:val="clear"/>
        </w:rPr>
        <w:t>not be linear and is subject to variability from period to period.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to achieve these increases through direct material cost reductions, increased manufacturing efficiencies for our products, including higher throughput on our automated consumables manufacturing line, leveraging our current cost structure to support future growth with minimal incremental investment, and by increasing productivity and efficiency in our service organization. We are also pursuing gross margin expansion opportunities through our MilliporeSigma partnership.</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product development, hardware and software engineering and consultant services and other costs associated with our technology Growth Direct platform and products, which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employee-related expenses, including costs for salaries, bonuses and other personnel costs including non-cash stock-based compensation expense, for employees engaged in research and development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developing, maintaining and improving new and existing product designs;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hardware and software engineering;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research materials and supplies;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external costs of outside consultants engaged to conduct research and development associated with our technology and products;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allocated information technology and facility-related costs, which include headcount-related costs for those functions as well as expenses for information technology systems and services, software, rent, facilities maintenance, and insurance as well as related non-cash depreciation and amortization.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costs are expensed as incurred. We believe that our continued investment in research and development is essential to our long-term competitive position. For future periods, we expect our research and development expenses to increase or decrease commensurate with the size, scope and complexity of our research and development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salaries, commissions, benefits and other personnel costs including non-cash stock-based compensation expense as well as costs relating to travel, consulting, trade shows, customer events and demonstrations, information services, advertising and allocated information technology and facility-related costs for our employees engaged in sales and marketing activities. For future periods, we expect sales and marketing expenses to increase or decrease commensurate with the number of sales and marketing personnel, our geographic sales and marketing footprint, and the size of our customer base.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bonuses and other personnel costs including non-cash stock-based compensation expense for our executive, finance, legal, human resources and general management employees, as well as director and officer insurance costs and professional fees for legal, patent, accounting, audit, investor relations, recruiting, consulting, regulatory, compliance, board of directors’ fees and other services. General and administrative expenses also include direct and allocated information technology and facility-related costs. For future periods, we expect these expenses to increase or decrease commensurate with the size, scope and complexity of our general and administrative functions.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is comprised primarily of interest income from cash equivalents and investments.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is comprised primarily of expense incurred from long-term debt and leases.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net, primarily consists of other miscellaneous income and expense unrelated to our core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Income tax expense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generated significant taxable losses during each of the three and six months ended June 30, 2026 and 2025, and therefore have not recorded any U.S. federal or state income tax expense during those periods. However, we did record an immaterial amount of foreign income tax expense during each of those periods.</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w:t>
      </w:r>
    </w:p>
    <w:tbl>
      <w:tblPr>
        <w:tblW w:w="8140" w:type="dxa"/>
        <w:jc w:val="left"/>
        <w:tblInd w:w="0" w:type="dxa"/>
        <w:tblLayout w:type="fixed"/>
        <w:tblCellMar>
          <w:top w:w="28" w:type="dxa"/>
          <w:left w:w="28" w:type="dxa"/>
          <w:bottom w:w="28" w:type="dxa"/>
          <w:right w:w="28" w:type="dxa"/>
        </w:tblCellMar>
      </w:tblPr>
      <w:tblGrid>
        <w:gridCol w:w="1023"/>
        <w:gridCol w:w="903"/>
        <w:gridCol w:w="908"/>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80"/>
        <w:gridCol w:w="386"/>
        <w:gridCol w:w="316"/>
      </w:tblGrid>
      <w:tr>
        <w:trPr/>
        <w:tc>
          <w:tcPr>
            <w:tcW w:w="102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revenue increased by $0.5 million, or 10.1%, with the increase primarily attributable to higher consumable shipment volumes due to the higher number of cumulative validated systems.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Service revenue increased by $0.3 million, or 12.5%. The increase in service revenue was primarily driven by an increase in validation revenue and higher service contract revenue as a result of an increase in the cumulative number of systems validated and under such contracts. Service revenue from validations, which is recognized when those services are provided, generally lag the related system placements by three to nine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gross margin, and gross margin percentage</w:t>
      </w:r>
    </w:p>
    <w:tbl>
      <w:tblPr>
        <w:tblW w:w="759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308"/>
        <w:gridCol w:w="308"/>
        <w:gridCol w:w="31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margin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product revenue increased by $0.1 million, or 2.2%. The increase was primarily driven by higher consumables sales volume and an unfavorable mix of products sold, namely a higher rate of growth in consumables as compared to systems, partially offset by a reduction in direct material costs for our products.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service revenue decreased by $0.3 million, or 15.8%. The decrease was primarily attributable to lower service headcount and related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and gross margin percentage increased by $0.9 million and 11.2 percentage points, respectively. The increase was driven by an improvement in both product margin and service margin.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010" w:type="dxa"/>
        <w:jc w:val="left"/>
        <w:tblInd w:w="0" w:type="dxa"/>
        <w:tblLayout w:type="fixed"/>
        <w:tblCellMar>
          <w:top w:w="28" w:type="dxa"/>
          <w:left w:w="28" w:type="dxa"/>
          <w:bottom w:w="28" w:type="dxa"/>
          <w:right w:w="28" w:type="dxa"/>
        </w:tblCellMar>
      </w:tblPr>
      <w:tblGrid>
        <w:gridCol w:w="843"/>
        <w:gridCol w:w="739"/>
        <w:gridCol w:w="743"/>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03"/>
        <w:gridCol w:w="203"/>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$0.1 million, or 3.2%. The increase was primarily driven by timing of spending related to new product development activities.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7114" w:type="dxa"/>
        <w:jc w:val="left"/>
        <w:tblInd w:w="0" w:type="dxa"/>
        <w:tblLayout w:type="fixed"/>
        <w:tblCellMar>
          <w:top w:w="28" w:type="dxa"/>
          <w:left w:w="28" w:type="dxa"/>
          <w:bottom w:w="28" w:type="dxa"/>
          <w:right w:w="28" w:type="dxa"/>
        </w:tblCellMar>
      </w:tblPr>
      <w:tblGrid>
        <w:gridCol w:w="840"/>
        <w:gridCol w:w="739"/>
        <w:gridCol w:w="745"/>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$0.3 million, or 10.3%. This increase was primarily driven by higher headcount-related costs and third-party consulting costs.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115" w:type="dxa"/>
        <w:jc w:val="left"/>
        <w:tblInd w:w="0" w:type="dxa"/>
        <w:tblLayout w:type="fixed"/>
        <w:tblCellMar>
          <w:top w:w="28" w:type="dxa"/>
          <w:left w:w="28" w:type="dxa"/>
          <w:bottom w:w="28" w:type="dxa"/>
          <w:right w:w="28" w:type="dxa"/>
        </w:tblCellMar>
      </w:tblPr>
      <w:tblGrid>
        <w:gridCol w:w="843"/>
        <w:gridCol w:w="740"/>
        <w:gridCol w:w="742"/>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$0.7 million, or 11.3%. This increase was primarily attributable to higher headcount related costs and consulting fees.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30, 2026 and 2025 was $0.1 million and $0.4 million, respectively. The decrease of $0.3 million, or 60.1%, was due to lower interest rates earned on our cash equivalents and investments balances, as well as lower cash equivalents and investment balances during the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and 2025 was $0.6 million and less than $0.1 million, respectively. The increase of $0.6 million was due to interest incurred with our long-term debt.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net, which is comprised of miscellaneous expenses unrelated to our core business, was less than $0.1 million for each of the three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was less than $0.1 million for each of the three months ended June 30, 2026 and 2025. The expense recorded related to our German and Swiss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w:t>
      </w:r>
    </w:p>
    <w:tbl>
      <w:tblPr>
        <w:tblW w:w="8095" w:type="dxa"/>
        <w:jc w:val="left"/>
        <w:tblInd w:w="0" w:type="dxa"/>
        <w:tblLayout w:type="fixed"/>
        <w:tblCellMar>
          <w:top w:w="28" w:type="dxa"/>
          <w:left w:w="28" w:type="dxa"/>
          <w:bottom w:w="28" w:type="dxa"/>
          <w:right w:w="28" w:type="dxa"/>
        </w:tblCellMar>
      </w:tblPr>
      <w:tblGrid>
        <w:gridCol w:w="1023"/>
        <w:gridCol w:w="903"/>
        <w:gridCol w:w="908"/>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58"/>
        <w:gridCol w:w="363"/>
        <w:gridCol w:w="316"/>
      </w:tblGrid>
      <w:tr>
        <w:trPr/>
        <w:tc>
          <w:tcPr>
            <w:tcW w:w="102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increased by $2.0 million, or 22.0%. The increase was driven primarily by a higher volume of system placements as well as higher consumable shipment volumes due mainly to an increase in cumulative validated systems.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Service revenue decreased by $0.4 million, or 6.7%. The decrease in service revenue was primarily driven by a decrease in validation revenue, offset by higher service contract revenue as a result of an increase in the cumulative number of systems validated and under such contracts. Service revenue from validations, which is recognized when those services are provided, generally lag the related system placements by three to nine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gross margin, and gross margin percentage</w:t>
      </w:r>
    </w:p>
    <w:tbl>
      <w:tblPr>
        <w:tblW w:w="7877"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306"/>
        <w:gridCol w:w="310"/>
        <w:gridCol w:w="31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margin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product revenue increased by $1.1 million, or 10.8%. The increase was driven by higher system and consumables sales volume, as well as an unfavorable mix of products sold, namely a higher rate of growth in consumables as compared to systems. This increase was partially offset by a reduction in direct material costs for our products.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service revenue decreased by $0.4 million, or 12.5%. The decrease was primarily attributable to lower service headcount and related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and gross margin percentage increased by $0.9 million and 5.2 percentage points, respectively. The increase was driven by an improvement in both product margin and service margin.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159" w:type="dxa"/>
        <w:jc w:val="left"/>
        <w:tblInd w:w="0" w:type="dxa"/>
        <w:tblLayout w:type="fixed"/>
        <w:tblCellMar>
          <w:top w:w="28" w:type="dxa"/>
          <w:left w:w="28" w:type="dxa"/>
          <w:bottom w:w="28" w:type="dxa"/>
          <w:right w:w="28" w:type="dxa"/>
        </w:tblCellMar>
      </w:tblPr>
      <w:tblGrid>
        <w:gridCol w:w="843"/>
        <w:gridCol w:w="739"/>
        <w:gridCol w:w="743"/>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239"/>
        <w:gridCol w:w="241"/>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$0.2 million, or 2.4%. The decrease was primarily driven by lower headcount and headcount-related costs as well as the timing of spending related to new product development activities.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7114" w:type="dxa"/>
        <w:jc w:val="left"/>
        <w:tblInd w:w="0" w:type="dxa"/>
        <w:tblLayout w:type="fixed"/>
        <w:tblCellMar>
          <w:top w:w="28" w:type="dxa"/>
          <w:left w:w="28" w:type="dxa"/>
          <w:bottom w:w="28" w:type="dxa"/>
          <w:right w:w="28" w:type="dxa"/>
        </w:tblCellMar>
      </w:tblPr>
      <w:tblGrid>
        <w:gridCol w:w="840"/>
        <w:gridCol w:w="739"/>
        <w:gridCol w:w="745"/>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$1.0 million, or 16.9%. This increase was primarily driven by higher headcount-related costs and third-party consulting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475" w:type="dxa"/>
        <w:jc w:val="left"/>
        <w:tblInd w:w="0" w:type="dxa"/>
        <w:tblLayout w:type="fixed"/>
        <w:tblCellMar>
          <w:top w:w="28" w:type="dxa"/>
          <w:left w:w="28" w:type="dxa"/>
          <w:bottom w:w="28" w:type="dxa"/>
          <w:right w:w="28" w:type="dxa"/>
        </w:tblCellMar>
      </w:tblPr>
      <w:tblGrid>
        <w:gridCol w:w="843"/>
        <w:gridCol w:w="740"/>
        <w:gridCol w:w="74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$2.4 million, or 20.7%. This increase was primarily attributable to higher headcount related costs, including non-cash stock compensation expense and severance, partially offset by a reduction in consulting fees.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income for the six months ended June 30, 2026 and 2025 was $0.4 million and $0.8 million respectively. The decrease of $0.4 million, or 51.5%, was due to lower interest rates earned on our cash equivalents and investments balances, as well as lower cash equivalents and investment balances during the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and 2025 was $1.3 million and less than $0.1 million, respectively. The increase of $1.3 million was due to interest incurred with our long-term debt.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which is comprised of miscellaneous expenses unrelated to our core business, was less than $0.1 million for each of the six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was less than $0.1 million for each of the six months ended June 30, 2026 and 2025. The expense recorded related to our German and Swiss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incurred operating losses. To date, we have funded our operations primarily through proceeds from sales of redeemable convertible preferred stock, borrowings under loan agreements, revenue from sales of our products and services, proceeds from our IPO, proceeds from registered offerings, and proceeds from our “at-the-market” (“ATM”)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2026, we completed an enterprise-wide review of opportunities to realize operational efficiencies. Based on the results of this review, we are implementing certain cost actions including a reduction in our current workforce, the closure of certain open and planned positions and reductions in other non-headcount-related expenses across the business. These actions are part of our ongoing efforts to prudently manage our cash resources and are expected to result in approximately $3 million in cash savings for the full year 2027 and approximately $1 million over the balance of 2026. We plan to continue to invest in key initiatives that are expected to drive future revenue growth and gross margin improvement, including customer sales and support, product development and product cost reduction programs. We expect to record a charge of approximately $0.4 million in the third quarter of 2026 related to this initiative.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cash equivalents and investments and additional borrowing capacity expected to become available under the LSA that is subject to the satisfaction of certain commercial and operational milestones and other conditions will be sufficient to fund our operating expenses and capital expenditure requirements for at least 12 months following the date the condensed consolidated financial statements contained in this Quarterly Report on Form 10-Q for the quarter ended June 30, 2026 were issued. Access to the first additional tranche under the LSA is expected in January 2027 after initial satisfaction of certain revenue and gross margin metrics in the six months ending December 31, 2026. However, if our expectations and underlying assumptions of business performance, including revenue growth, gross margin improvements, and/or control of operating costs are not realized, we may need to raise additional funding, which could be through equity offerings, debt financings or a combination thereof. If we are unable to raise capital as, if and when, needed, or cannot draw down the first additional tranche of the LSA, we may have to significantly delay, scale 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 discontinue our expansion plans including further development and commercialization efforts of one or more of our products.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the following cash and investment-related assets on our condensed consolidated balance sheet (in thousands): </w:t>
      </w:r>
    </w:p>
    <w:tbl>
      <w:tblPr>
        <w:tblW w:w="3584" w:type="dxa"/>
        <w:jc w:val="left"/>
        <w:tblInd w:w="0" w:type="dxa"/>
        <w:tblLayout w:type="fixed"/>
        <w:tblCellMar>
          <w:top w:w="28" w:type="dxa"/>
          <w:left w:w="28" w:type="dxa"/>
          <w:bottom w:w="28" w:type="dxa"/>
          <w:right w:w="28" w:type="dxa"/>
        </w:tblCellMar>
      </w:tblPr>
      <w:tblGrid>
        <w:gridCol w:w="820"/>
        <w:gridCol w:w="720"/>
        <w:gridCol w:w="724"/>
        <w:gridCol w:w="256"/>
        <w:gridCol w:w="877"/>
        <w:gridCol w:w="187"/>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ATM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15, 2023, we entered into a sales agreement to establish an ATM facility with Cowen and Company, LLC, pursuant to which we may sell and issue shares of our Class A common stock. During the quarter and year ended December 31, 2025, we sold 113,217 shares of Class A common stock under this facility resulting in net proceeds of $0.4 million. During the three and six months ended June 30, 2026, we did not issue or sell any shares of our Class A common stock under this facility.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2013, we entered into an operating lease for office and manufacturing space in Lowell, Massachusetts. In March 2022, we amended the lease to increase the amount of facility space subject to the lease and extend the expiration of the lease from July 2026 to July 2029. The terms of the amendment include options for a one-time, five-year extension of the lease. Monthly rent payments are fixed and future minimum lease payments under the lease (as amended) are $2.1 million as of June 30, 2026, including $0.7 million in short-term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2021, we entered into a sublease agreement for our Lexington, Massachusetts headquarters, which expires in June 2029 (the “sublease agreement”). Monthly rent payments are fixed and future minimum lease payments over the term of the sublease are $2.3 million as of June 30, 2026, including $0.8 million in short-term obligations. Concurrent with entering into the sublease agreement, we executed an option agreement with the property owner which provides us the option to enter into a new direct lease for our Lexington, Massachusetts facility for an additional five years following expiration of the sublease.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For additional information on our contractual obligation and commitments please see Note 15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each of the periods presented (in thousands):</w:t>
      </w:r>
    </w:p>
    <w:tbl>
      <w:tblPr>
        <w:tblW w:w="8468" w:type="dxa"/>
        <w:jc w:val="left"/>
        <w:tblInd w:w="0" w:type="dxa"/>
        <w:tblLayout w:type="fixed"/>
        <w:tblCellMar>
          <w:top w:w="28" w:type="dxa"/>
          <w:left w:w="28" w:type="dxa"/>
          <w:bottom w:w="28" w:type="dxa"/>
          <w:right w:w="28" w:type="dxa"/>
        </w:tblCellMar>
      </w:tblPr>
      <w:tblGrid>
        <w:gridCol w:w="2122"/>
        <w:gridCol w:w="1868"/>
        <w:gridCol w:w="1874"/>
        <w:gridCol w:w="211"/>
        <w:gridCol w:w="796"/>
        <w:gridCol w:w="109"/>
        <w:gridCol w:w="109"/>
        <w:gridCol w:w="109"/>
        <w:gridCol w:w="109"/>
        <w:gridCol w:w="211"/>
        <w:gridCol w:w="796"/>
        <w:gridCol w:w="154"/>
      </w:tblGrid>
      <w:tr>
        <w:trPr/>
        <w:tc>
          <w:tcPr>
            <w:tcW w:w="2122"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During the six months ended June 30, 2026, net cash used in operating activities was $27.8 million, an increase of $9.0 million</w:t>
      </w:r>
      <w:r>
        <w:rPr>
          <w:color w:val="000000"/>
        </w:rPr>
        <w:t xml:space="preserve"> </w:t>
      </w:r>
      <w:r>
        <w:rPr>
          <w:rFonts w:ascii="Times New Roman;serif" w:hAnsi="Times New Roman;serif"/>
          <w:b w:val="false"/>
          <w:color w:val="000000"/>
          <w:sz w:val="20"/>
        </w:rPr>
        <w:t>compared to the six months ended June 30, 2025. The higher use of net cash was primarily due to the volume and timing of collections from customers and payments to vendors, including for inventory purchases, as well as higher personnel-related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provided by investing activities was $12.8 million, a decrease of $7.2 million compared to the six months ended June 30, 2025. Higher investment maturities in the prior-year period coupled with an increase in investment purchases in the current period contributed to the reduction in cash provided by investing activities.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provided by financing activities was $9.6 million, an increase of $9.5 million compared to the six months ended June 30, 2025. The primary driver of this increase was net proceeds from the registered offerings in May 2026 and a decrease in tax withholdings on settlement of restricted stock units, partially offset by reduced stock option exercises in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Our revenues vary from quarter to quarter as a result of factors such as our customers’ budgetary cycles and extended summer vacation periods that can impact our ability to progress system s</w:t>
      </w:r>
      <w:r>
        <w:rPr>
          <w:rFonts w:ascii="Times New Roman;serif" w:hAnsi="Times New Roman;serif"/>
          <w:b w:val="false"/>
          <w:color w:val="000000"/>
          <w:sz w:val="20"/>
          <w:shd w:fill="FFFFFF" w:val="clear"/>
        </w:rPr>
        <w:t>ale processes, d</w:t>
      </w:r>
      <w:r>
        <w:rPr>
          <w:rFonts w:ascii="Times New Roman;serif" w:hAnsi="Times New Roman;serif"/>
          <w:b w:val="false"/>
          <w:color w:val="000000"/>
          <w:sz w:val="20"/>
        </w:rPr>
        <w:t>eliver products and provide onsite services to our customers during those periods. We expect this variability to continue for the foreseeable future, which may cause fluctuations in our operating results and financial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Our estimates are based on our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significant accounting policies are described in more detail in Note 2 — Summary of Significant Accounting Policies to our condensed consolidated financial statements included elsewhere in this Quarterly Report on Form 10-Q. 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the 2025 Form 10-K, other than as disclosed in Note 2 — Summary of Significant Accounting Policies — to our condensed consolidated financial statements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results of operations or cash flows is disclosed in Note 2 — Summary of Significant Accounting Policies — to our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cease to be an emerging growth company on December 31, 2026, at the latest.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short-term investments of $19.8 million, which consisted of cash, money market funds, U.S. treasury bills, and U.S. treasury notes. Interest income is sensitive to changes in the general level of interest rates; however, due to the nature of these investments, an immediate 10% change in interest rates would not have a material effect on the fair market value of our investment portfolio. Fluctuations in interest rates may also affect our business through its impact on the broader macroeconomic environment, potentially manifesting as decreased demand for our products and services from customers who may face economic uncertainty.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not currently exposed to significant market risk related to changes in foreign currency exchange rates. Our operations may be subject to fluctuations in foreign currency exchange rates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have experienced some impact from inflation related mainly to our materials, labor and freight costs, we have been able to mitigate further impacts, including through long-term contracts and commitments with key suppliers. In addition, we continue to monitor the impact of inflation on these costs and seek to minimize its effects through productivity improvements and cost reductions. As a result, we currently do not believe that inflation has had a material effect on our business, financial condition or results of operations. However, the imposition of tariffs by the U.S. and other trading nations, as well as supply chain disruptions as a result of geopolitical events that increase energy costs and the price of products derived from petroleum, may have an inflationary effect on the prices of goods and services, including those that we utilize in the production of our products and delivery of our services. As a result, due to these and other macroeconomic factors, we have and may continue to experience inflationary pressures on significant cost categories including labor, materials and freight. If our costs were to become subject to significant incremental inflationary pressures, we may not be able to meaningfully offset such higher costs through price increases. Our inability or failure to do so could harm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68" w:before="240" w:after="283"/>
        <w:ind w:left="0" w:right="0" w:firstLine="360"/>
        <w:jc w:val="left"/>
        <w:rPr/>
      </w:pPr>
      <w:r>
        <w:rPr>
          <w:rFonts w:ascii="Times New Roman;serif" w:hAnsi="Times New Roman;serif"/>
          <w:b w:val="false"/>
          <w:color w:val="000000"/>
          <w:sz w:val="20"/>
        </w:rPr>
        <w:t xml:space="preserve">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w:t>
      </w:r>
      <w:r>
        <w:rPr>
          <w:rFonts w:ascii="Times New Roman;serif" w:hAnsi="Times New Roman;serif"/>
          <w:b w:val="false"/>
          <w:color w:val="000000"/>
          <w:sz w:val="20"/>
          <w:shd w:fill="FFFFFF" w:val="clear"/>
        </w:rPr>
        <w:t xml:space="preserve">Our disclosure controls and procedures are designed to ensure (a) that information required to be disclosed in the reports we file or submit under the Exchange Act is recorded, processed, summarized and reported within the time periods specified in the SEC’s rules and forms, and (b) that information required to be disclosed by us in reports filed or submitted under the Exchange Act is accumulated and communicated to our management, including </w:t>
      </w:r>
      <w:r>
        <w:rPr>
          <w:rFonts w:ascii="Times New Roman;serif" w:hAnsi="Times New Roman;serif"/>
          <w:b w:val="false"/>
          <w:color w:val="000000"/>
          <w:sz w:val="20"/>
        </w:rPr>
        <w:t xml:space="preserve">our principal executive officer and principal financial officer </w:t>
      </w:r>
      <w:r>
        <w:rPr>
          <w:rFonts w:ascii="Times New Roman;serif" w:hAnsi="Times New Roman;serif"/>
          <w:b w:val="false"/>
          <w:color w:val="000000"/>
          <w:sz w:val="20"/>
          <w:shd w:fill="FFFFFF" w:val="clear"/>
        </w:rPr>
        <w:t xml:space="preserve">to allow timely decisions regarding required disclosures. </w:t>
      </w:r>
      <w:r>
        <w:rPr>
          <w:rFonts w:ascii="Times New Roman;serif" w:hAnsi="Times New Roman;serif"/>
          <w:b w:val="false"/>
          <w:color w:val="000000"/>
          <w:sz w:val="20"/>
        </w:rPr>
        <w:t>Based on that evaluation, our principal executive officer and principal financial officer concluded that, as of June 30, 2026, our disclosure controls and procedures were effective at the reasonable assurance level.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We are not currently a party to any material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Our business involves significant risks. Stockholders should carefully consider the risks and uncertainties described below and the other information in this Quarterly Report on Form 10-Q. Our business, financial condition, results of operations, or prospects could be materially and adversely affected if any of these risks occurs and, as a result, the market price of our Class A common stock could decline and stockholders could lose all or part of their investment. This Quarterly Report on Form 10-Q also contains forward-looking statements that involve risks and uncertainties. See “Forward-Looking Statements” on page </w:t>
      </w:r>
      <w:hyperlink w:anchor="idca7cb1432814509a82c3a5d3f00c65d_10">
        <w:r>
          <w:rPr>
            <w:rStyle w:val="InternetLink"/>
            <w:rFonts w:ascii="Times New Roman;serif" w:hAnsi="Times New Roman;serif"/>
            <w:b w:val="false"/>
            <w:i/>
            <w:color w:val="0000FF"/>
            <w:sz w:val="20"/>
            <w:u w:val="single"/>
          </w:rPr>
          <w:t>3</w:t>
        </w:r>
      </w:hyperlink>
      <w:r>
        <w:rPr>
          <w:rFonts w:ascii="Times New Roman;serif" w:hAnsi="Times New Roman;serif"/>
          <w:b w:val="false"/>
          <w:i/>
          <w:color w:val="000000"/>
          <w:sz w:val="20"/>
        </w:rPr>
        <w:t>. Our actual results could differ materially and adversely from those anticipated in these forward-looking statements as a result of certain important factors, including those set forth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The risk factors denoted with a “*”, if any, are newly added or have been materially updated from our Annual Report on Form 10-K for the fiscal year ended December 31, 2025 (the “2025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significant losses since inception, we expect to incur losses in the future and we may not be able to achieve and maintain positive cash flow and profitability.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losses since our inception. For the three months ended June 30, 2026, we incurred net losses of $12.9 million. As of June 30, 2026, we had an accumulated deficit of $549.6 million. Since our inception, we have financed our operations primarily from private placements of equity, the incurrence of indebtedness, our initial public offering, registered offerings, and to a lesser extent, revenue derived from our Growth Direct platform and non-commercial contracts. We have devoted substantially all of our resources to the development and commercialization of our Growth Direct platform and to development activities related to advancing and expanding our technological capabilities. While we have a goal of achieving positive cash flow without additional financing, there can be no assurance that we will attain this goal. Our positive cash flow goal is based on our expectations of business growth that are generally consistent with our historical performance, including with respect to revenue and gross margins, which may not be replicated in future periods. Attaining our cash flow goal also depends on our ability to realize additional cost savings that we believe are reasonably achievable, but are not guaranteed. We will need to generate significant additional revenue, significantly improve our gross margin and/or further reduce costs to achieve positive cash flow and profitability, and even if achieved, we cannot be sure that we will sustain positive cash flow and profitability for any substantial period of time. While our goal to achieve positive cash flow is underpinned by our recent and historical performance, such performance is not necessarily indicative of our future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future prospects and the risks and challenges we may encounter.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Predictions about our future success or viability may not be as accurate as they could be if our products had a longer commercial history. While our product and services revenue has continued to increase in recent periods, if our strategy to grow and scale our business is not successful, we may not be able to achieve continued revenue growth. Our limited operating history, evolving business and rapid growth make it difficult to evaluate our future prospects and the risks and challenges we may encounter, and we may not continue to grow at or near historical rates.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we seek to innovate in and disrupt the current microbial quality control (“MQC”) market, we may encounter unforeseen expenses, difficulties, complications, delays and other known and unknown challenges. We are transitioning to a company capable of supporting commercial manufacturing, sales and marketing at scale in the United States and abroad. We may not be successful in such a transition and, as a result, our business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depends on the commercial success of our Growth Direct platform, which may not be achieved or maintained.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dependent on sales of our Growth Direct systems and related consumables and services. Our ability to achieve and maintain commercial market acceptance of our Growth Direct platform will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acceptance by drug manufacturers of automated MQC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increase awareness of the capabilities of automated MQC testing and our technology and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willingness to adopt new technologies and workflows;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integrate our platform with our customers’ existing workflows, including related to regulatory validation processes;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our platform reliably provides advantages over the conventional, manual method of MQC testing and other automated technologies and is perceived by customers to be cost effective;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continued growth of the pharmaceutical and biopharmaceutical industry, in particular biologics and cell and gene therapies;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execute on our business strategy, including continuing to expand in the market for cell and gene therapies;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rate of adoption of our platform and solutions by drug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prices we charge for our systems and consumables;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relative reliability and robustness of our platform as a whole and the components of our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new products for existing customers and to expand our capabilities within the MQC testing workflow;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the use of our platform with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competitive automated MQC testing platforms;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our investments in product innovation and commercial growth;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overall profile and market perception of our company and its business, finances and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assure our stockholders that we will be successful in addressing each of these criteria or other criteria that might affect the market acceptance of our products. If we are unsuccessful in achieving and maintaining commercial market acceptance of our Growth Direct platform, our business, financial condition, results of operations and prospects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results have fluctuated significantly in the past and will fluctuate significantly in the future, which makes our future operating results difficult to predict and could cause our operating results to fall below expectations.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Our quarterly and annual operating results have fluctuated significantly in the past and may fluctuate significantly in the future, which makes it difficult for us to predict our future operating results. For example, while we have experienced positive trends in our gross margin percentage, expansion in future periods may not be linear and may be subject to variability from period to period. In that regards, our gross margin percentage improved from (0.4)% for the 12 months ended December 31, 2024 to 3.1% for the 12 months ended December 31, 2025, from 3.8% to 15.0%</w:t>
      </w:r>
      <w:r>
        <w:rPr>
          <w:color w:val="000000"/>
        </w:rPr>
        <w:t xml:space="preserve"> </w:t>
      </w:r>
      <w:r>
        <w:rPr>
          <w:rFonts w:ascii="Times New Roman;serif" w:hAnsi="Times New Roman;serif"/>
          <w:b w:val="false"/>
          <w:color w:val="000000"/>
          <w:sz w:val="20"/>
        </w:rPr>
        <w:t>for the three months ended June 30, 2025 and June 30, 2026, respectively, and from 4.7% to 9.9% for the six months ended June 30, 2025 and June 30, 2026, respectively. Additionally, revenue growth and operating expenses may also be subject to variability from period to period. For instance, we announced the receipt of large, multi-system customer orders from Amgen and Samsung Biologics that contributed to our results for the quarters ended December 31, 2025 and March 31, 2026, respectively. Additionally, the timing of consumables, validations and service revenue is variable. These fluctuations may occur due to a variety of factors, many of which are outside of our control,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tendency to purchase our Growth Direct system, including multiple systems, in a single transaction, resulting in significant variations in sales of our systems over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demand for our platform and solutions, which may vary significantly;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length of time of the sales cycle for purchases of our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seasonality in our business due to our customers’ budgetary cycles and time off during summer vacation and end-of-year periods;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lead time needed for validation prior to our customers’ purchasing and using our consumables;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demand for our consumables;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cost of, and level of investment in, technology development and commercialization activities, which may change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start, completion, and output of manufacturing runs;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manufacturing and shipping our products or of providing services to our customers, which may impact our operating gross margin in any given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system repairs or replacements that may impact our customers’ confidence in us and our products and our reputation in the market;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relative reliability and robustness of our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introduction of new products or product enhancements by us or others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expenditures that we may incur to acquire, develop or commercialize additional products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expenditures involved in preparing, filing, prosecuting, maintaining, defending and enforcing patent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future accounting pronouncements or changes in our accounting policies;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sales organization to design and execute effective sales processes;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implementation of cost reduction efforts, and the resulting costs and savings related to these actions;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market conditions and other factors, including factors, such as inflation and tariffs, unrelated to our operating performance or the operating performance of our competitors.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any single factor, or the cumulative effects of a combination of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We may continue to experience fluctuations in our operating results as a result of these factors.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 the past and may in the future fail to meet our publicly announced guidance or other expectations about our business and future operating results, which could adversely affect our business, reputation and financial results and cause our stock price to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announce earnings guidance and other expectations regarding the future performance of our business in our quarterly and annual earnings conference calls, quarterly and annual earnings releases, or otherwise, that represents our management’s estimates as of the date of such disclosure. This guidance includes forward-looking statements based on projections prepared by our management. Projections are based upon a number of assumptions and estimates that are based on information known when they are issued, and, while presented with numerical specificity, are inherently subject to significant business, economic, and competitive uncertainties and contingencies relating to our business, many of which are beyond our control and are based upon specific assumptions with respect to future business decisions, some of which will change. It can be expected that some or all of the assumptions underlying any guidance furnished by us will not materialize or will vary significantly from actual results. From time to time, we provide our beliefs regarding possible outcomes as high and low ranges, but these are not intended to imply that actual results could not fall outside of the suggested ranges. </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actual business results may vary significantly from such guidance due to a number of factors, many of which are outside of our control, including our customers’ demand for our Growth Direct systems, the length of the sales cycle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purchases of our systems, customer site readiness and the lead time needed for validation of our systems prior to customers purchasing and using our consumables, the costs of manufacturing and shipping our products or of providing services to our customers, as well as the impact of global economic uncertainty and financial market conditions, such as recently imposed and potential future tariffs, geopolitical events, rising inflation, rising interest rates, and public health crises, all of which have in the past and may in the future adversely affect our business and operating results. For example, guidance that we provide is based on system purchase order commitments that we have in hand or expect to receive in the future, which may not be a reliable indicator. We recognize revenue upon the delivery of our systems to customers, at which point we also classify such systems as placed. Delivery of our systems to customers is dependent on a number of factors, many of which are beyond our control, including our customers’ plans and circumstances with respect to their manufacturing capabilities, such as the timing of construction activities. If our systems are not delivered on the timelines that we expect or at all, our expectations with respect to the recognition of revenue and number of systems placed may prove to be incorrect. Furthermore, if we make downward revisions of our previously announced guidance, or if our publicly announced guidance of future operating results fails to meet expectations of securities analysts, investors, or other interested parties, we may experience adverse effects on our business and reputation and the price of our common stock could decline.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such disclosure. Actual results may vary from our guidance and the variations may be material. Investors are urged to exercise caution when using our guidance in making an investment decision regarding our common stock. Any failure to successfully implement our business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cannot maintain the level of sales of our Growth Direct systems or the sales of our consumables and services to existing customers declines, our future operating results would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customers purchase multiple Growth Direct systems at the same time and we expect them to use these systems for many years before needing to purchase new systems. We believe that our ability to generate revenue depends on our ability to sell our Growth Direct system to new customers and expand the use of our system by existing customers. Our current commercial strategy includes targeting sales to customers that are receptive to entering into multi-system deals with us. As a result, in the near term, we have observed and we believe that a significant portion of our revenue may continue to be generated from a small number of different customers each year. We currently rely on consumables and service contracts as a potential source of recurring revenue from our existing customers, though there can be no assurance that such revenue will continue at current levels. These consumables and service contracts are purchased on an as-needed basis and, as a result, revenue from these sources may be subject to change, as customers’ purchasing practices and policies change or their demand for our consumables and service contracts change. For example, in the past, we have experienced occasions in which customers’ facilities in which our Growth Direct systems were used have been closed or sold, which resulted in the reduction, suspension, or cessation of purchases of consumables at such sites. If we are unable to sell our Growth Direct system to new customers, if our existing customers do not expand their use of our systems, or if our existing customers decide to purchase fewer of our consumables and service contracts or terminate their relationships with us, our revenue could materially and significantly decrease, and there can be no assurance that we will be able to replace such revenue, which would have an adverse effect on our financial condition and results of operations and could adversely impact our ability to execute on our growth strategy.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and any future indebtedness could adversely affect our ability to operate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2025, we entered into a Loan and Security Agreement (the “LSA”), with Trinity Capital Inc. and the other lenders party thereto, or the Lenders, and Trinity Capital Inc., as administrative agent and collateral agent (the “Agent”). The LSA provides for up to $45.0 million of senior secured term loans (the “Term Loan”), available to us in multiple tranches. The availability of future tranches is subject to certain commercial and operational milestones and other conditions set forth in the LSA and, therefore, there can be no guarantee that we will be able to access any future tranches. The Term Loan will mature on September 1, 2030. Our obligations under the LSA are secured, subject to customary exceptions, by a security interest in all of our tangible and intangible assets, including our intellectual property.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LSA contains customary covenants that could prevent us from taking certain actions without the consent of the Lenders. These covenants may limit our flexibility in operating our business and our ability to take actions that might be advantageous to us and our stockholders. For additional information see Note 9 — </w:t>
      </w:r>
      <w:r>
        <w:rPr>
          <w:rFonts w:ascii="Times New Roman;serif" w:hAnsi="Times New Roman;serif"/>
          <w:b w:val="false"/>
          <w:i/>
          <w:color w:val="000000"/>
          <w:sz w:val="20"/>
        </w:rPr>
        <w:t>Notes payable, net</w:t>
      </w:r>
      <w:r>
        <w:rPr>
          <w:color w:val="000000"/>
        </w:rPr>
        <w:t xml:space="preserve"> </w:t>
      </w:r>
      <w:r>
        <w:rPr>
          <w:rFonts w:ascii="Times New Roman;serif" w:hAnsi="Times New Roman;serif"/>
          <w:b w:val="false"/>
          <w:color w:val="000000"/>
          <w:sz w:val="20"/>
        </w:rPr>
        <w:t>to our condensed consolidated financial statements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LSA also contains customary events of default, including the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LSA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raise any additional debt financing, the terms of such additional debt could further restrict our operating and financial flexibility.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need or otherwise decide to raise additional capital to fund our existing operations, improve our platform or develop and commercialize new products or expand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our efforts to maintain our position in the MQC industry, including improving our Growth Direct platform and developing new products, will continue to require significant resources. Based upon our current operating plan, we believe our existing cash, cash equivalents, and short-term investments of $19.8 million as of June 30, 2026, plus additional borrowing capacity expected to become available under the LSA that is subject to the satisfaction of certain commercial and operational milestones and other conditions, will be sufficient to fund our operating expenses and capital expenditure requirements for at least 12 months following the date of this Quarterly Report on Form 10-Q. Access to the first additional tranche under the LSA is expected in January 2027 after initial satisfaction of certain revenue and gross margin metrics in the six months ending December 31, 2026. This estimate and our expectation regarding the sufficiency of our existing cash, cash equivalents, and investments are based on assumptions that may prove to be wrong, and we could use our available capital resources sooner than we currently expect. Until such time, if ever, as we can generate sufficient cash flow, we may seek to finance our cash needs through a combination of equity offerings and additional debt financings or other sources. Our ability to access the remaining borrowing capacity under the LSA is subject to certain conditions, and our ability to cause the exercise of certain warrants that we issued in our May 2026 financing is dependent on achieving and maintaining certain trading price and volume in our Class A common stock. Therefore, we do not currently have any committed external source of funds that are not subject to conditions to access. If we need additional financing to execute on our current or future business strategies, we cannot be certain that such additional financing will be available on terms favorable to us, or at all. If adequate funds are not available or are not available on acceptable terms, if and when needed, our ability to fund our operations and otherwise execute our strategies would be significantly limited. In the event we use our available capital resources or our costs are higher than expected, we may also need to eliminate or curtail expenses to mitigate the impact on working capital, delay, reduce or eliminate our product development activities or otherwise seek strategic alternatives. While we have a goal of achieving positive cash flow without additional financing, there can be no assurance that we will attain this goal. Our goal to reach positive cash flow is based on our expectations of business performance that are generally consistent with our historical performance, including with respect to revenue and gross margins, which may not be replicated in future periods. Our goal also depends on our ability to realize additional cost savings that we believe are reasonably achievable, but are not guaranteed. In addition, we may selectively and opportunistically seek additional capital due to favorable market conditions or strategic considerations, even if we believe that we have sufficient funds for our current or future operating plans.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funding requirements may increase significantly if one or more of the other risks, events or circumstances described elsewhere in these risk factors are realized.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In addition, additional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intellectual property, future revenue streams or products or grant licenses on terms that may not be favorable to us. Furthermore, any capital raising efforts may divert our management from their day-to-day activities, which may adversely affect our ability to advance product development activities. If we are unable to raise additional funds when needed, we may be required to delay, limit, reduce or terminate product development or commercialization efforts.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sales and issuances of our Class A common stock, including through our ATM facility, or rights to purchase Class A common stock, including pursuant to our equity incentive plans, or upon the exercise of outstanding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would result in additional dilution of the percentage ownership of our stockholders and could cause our stock price to fall.*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December 2023, we filed a registration statement on Form S-3 relating to the registration of our Class A common stock, preferred stock, debt securities, warrants and units or any combination thereof. In December 2023, we entered into an ATM facility, which provides for the offering, issuance and sale by us of shares of our Class A common stock from time to time for aggregate gross proceeds of up to $50.0 million in sales deemed to be “at-the-market offerings” as defined by the Securities Act. In an underwritten offering that we undertook in May 2026, we issued and sold 3,581,000 Shares together with an aggregate of 3,581,000 Series A Warrants Pre-Funded Warrants and Series B Warrants at a combined offering price of $1.955 per share, and 1,463,000 Pre-Funded Warrants with an aggregate of 1,463,000 Series A Warrants and Series B Warrants at a combined offering price of $1.945 per share. In May 2026, in a registered direct offering, we issued and sold 71,607 Shares together with an aggregate of 71,607 Series A Warrant and a Series B Warrant at a combined offering price of $1.955 per share. During the year ended December 31, 2025, we sold 113,217 shares of Class A common stock under the ATM facility resulting in net proceeds of $0.4 million. During the three and six months ended June 30, 2026 through the filing date of this Quarterly Report, we did not issue or sell any shares of our Class A common stock under the ATM facility. Any exercises of the Series A Warrants, Series B Warrants or Pre-Funded Warrants issued in the May 2026 underwritten offering and registered direct offering and any additional sales or issuances of securities pursuant to our registration statement on Form S-3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Strategy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relies heavily on establishing and maintaining our position in the market as a leading provider of automated MQC testing.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profitability will depend on our ability to successfully execute and maintain a sustainable business model and generate continuous streams of revenue. Our business model is premised on our position as a leader in automated MQC testing and the competitive advantages that such position creates. Our Growth Direct platform, among other things, is designed to reduce the amount of time for MQC testing and the opportunity for human error in what we believe is a more cost-effective manner than traditional MQC testing. However, if competitors develop and commercialize an automated MQC testing platform and are able to obtain traction with customers, we may not be able to maintain our lead position and execute our business strategy. If we are unable to expand or continue to expand our customers in growing areas of drug manufacturing, such as biologics and cell and gene therapies, continue to grow market adoption of our Growth Direct platform, and maintain our position as the industry leader in automated MQC testing, our business, prospects, financial condition and results of operation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expanding our business with existing customers and driving adoption of our solutions with new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success will depend on our ability to expand our business with existing customers and to target new drug manufacturing customers to capture a greater share of the MQC testing value chain. Our ability to grow our business with existing customers will depend on our ability to broaden the application of our automated MQC testing to a larger portion of the MQC testing workflow and to increase the number of Growth Direct systems in their manufacturing facilities. Our ability to expand our business will also depend on our ability to attract new customers and to integrate our platform with new methods of manufacturing, such as cell and gene therapies. Future revenue growth, if any, may also depend on our ability to develop and market new products, technologies and solutions to meet our customers’ evolving needs, as well as our ability to identify new applications and customers for our technology in additional industries beyond the drug manufacturing industry.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scale our business, we may find that certain of our products, certain customers or certain industries may require a dedicated sales force or sales personnel with different experience than those we currently employ. Identifying, recruiting and training additional qualified personnel would require significant time, expense and attention.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unable to drive new customer conversion to automated MQC and our Growth Direct platform, expand adoption of our Growth Direct platform into new industries and markets, or increase the usage and value of our platform to our customers, then our business, financial condition, results of operations and prospects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successfully expand our Growth Direct platform to customers who manufacture cell and gene therapies.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expand our Growth Direct platform to customers who manufacture cell and gene therapies depends upon our ability to integrate our platform with the novel manufacturing processes being developed for these therapies. Companies that manufacture cell and gene therapies are developing new approaches to handle this manufacturing method, including novel facility layouts, new processes and workflows, and new quality and risk management frameworks. Unlike traditional “small molecule” drug manufacturing, the manufacture of biologics, and cell and gene therapies in particular, is more time sensitive and subject to increased risk of contamination due to material handling and process change-over. There are also currently a small number of cell and gene therapies approved by the U.S. Food and Drug Administration (“FDA”). While we have experience providing automated MQC testing for customers that manufacture a number of these approved therapies, we may encounter challenges or unexpected issues as we apply our Growth Direct platform to testing a greater number of therapies as they are approved in future. We cannot be certain that we will be able to successfully or consistently integrate our platform with this novel manufacturing process. If we are unable to successfully expand our Growth Direct platform into this growing segment of therapeutic manufacturing, our business and financial position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 of the markets and forecasts of market growth for automated MQC testing and other of our key performance indicators are based on a number of complex assumptions and estimates, and may be inaccurate.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estimate annual total addressable markets and forecasts of market growth for our Growth Direct platform. We have also developed a standard set of key performance indicators designed to enable us to assess the performance of our business in and across multiple markets, and to forecast future revenue. These estimates, forecasts and key performance indicators are based on a number of complex assumptions, internal and third-party estimates and market studies, and other business data, including assumptions and estimates relating to our ability to generate revenue from the expansion of our platform into new drug manufacturing areas and new industries. While we believe our assumptions and the data underlying our estimates and key performance indicators are reasonable, there are inherent challenges in measuring or forecasting such information. As a result, these assumptions and estimates may not be correct and the conditions supporting our assumptions or estimates may change at any time, thereby reducing the predictive accuracy of these underlying factors and indicators. As a result, our estimates of the total addressable market and our forecasts of market growth for our current or future products may prove to be incorrect, and our key performance indicators may not reflect our actual performance. If the total addressable market or the potential market growth for our platform is smaller than we have estimated or if the key performance indicators we utilize to forecast revenue are inaccurate, it may impair our sales growth and have an adverse impact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product development involves a lengthy and complex process and we may be unable to develop or commercialize products on a timely basis, or at all.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Products from our development programs will take time and considerable resources to develop, and may include improvements or changes to our systems, software and consumables. We may not be able to complete development and commercialize them on a timely basis, or at all. There can be no assurance that our development programs will produce commercial products and solutions and before we can commercialize any new products, we will need to expend significant funds in order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conduct substantial research and development, which may include validation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further develop and scale our engineering and manufacturing processes to accommodate different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further develop and scale our infrastructure to be able to analyze increasingly large amounts of data;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utilize data and analytical insights generated from existing Growth Direct platform in our research and development programs in order to advance these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 development processes involve a high degree of risk, and these efforts may be delayed or fail for many reasons,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of the product to perform as expected;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higher costs than anticipated;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reliably demonstrate the advantages of our products.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we are unable to generate additional data and insights from our existing Growth Direct platforms, then we may not be able to advance these programs as quickly, or at all, or without significant additional investment, all of which could have a material adverse effect on our product development efforts.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if we are successful in developing new products, it will require us to make significant additional investments in marketing and selling resources in order to commercialize any such products. For example, we recently made generally available for commercial sale our rapid sterility application for use on the Growth Direct system, for which we have expended significant time and resources to develop. We placed our first Growth Direct rapid sterility system with an existing customer in the second quarter of 2024. However, there can be no assurance that this new sterility test will gain broad commercial acceptance or that we will scale our manufacturing capabilities to support customer demand. Furthermore, because this is a new application, we may encounter technical or other product challenges as customers adopt and implement Growth Direct rapid sterility into their workflows. We may be unsuccessful in commercializing new products that we develop, which could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customers use our Growth Direct platform as part of their quality control workflow, which is subject to regulation by the FDA and other comparable regulatory authorities.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products and services used for quality-control testing in pharmaceutical product manufacturing. Our customers are subject to extensive regulations by the FDA and similar regulatory authorities in other countries, including, for example, current good manufacturing practice regulations and associated requirements to validate the methods used to manufacture their products. To meet their regulatory compliance requirements, our customers have implemented quality-control workflows to monitor for microbial growth and contamination. While our Growth Direct platform is not regulated directly by the FDA or other comparable authorities and we have not verified our Growth Direct platform for compliance with such regulations, we have designed our platform to be integrated as part of a compliant quality-control workflow. If our Growth Direct platform is unable to meet regulatory standards for compliance or we are unable to update our platform to meet new regulatory requirements, we will lose customers and our business will be adversely affected. While under our agreements with our customers we are not liable for non-compliance of our Growth Direct platform, if a customer experienced a compliance failure due to our Growth Direct platform, or that the customer attributes to our Growth Direct platform, our reputation could be harmed and our business prospects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manage our inventory and support demand for existing and future products on the Growth Direct platform, our business could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the number of customers using the Growth Direct platform grows and our volume of installed systems increases, we will need to continue to increase our capacity for customer service and support, including maintenance services of our systems, and expand our manufacturing capabilities. As a result, we will also need to purchase additional equipment, some of which can take several months or more to procure, setup and validate, and increase our personnel levels to meet increased demand. There is no assurance that any of these measures taken with respect to scale and expansion of personnel, equipment, manufacturing or services will be successfully implemented, or that we will have adequate space, including in our manufacturing facility, to accommodate such required expansion.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maintain certain levels of inventory to support future product manufacturing efforts and to align production volumes with anticipated customer demand. It is important for us to manage our consumables inventory to align production volumes with customer demand. For example, if our inventory of consumables exceeds customer demand, we may be unable to sell such inventory before it expires. Similarly, if our inventory of Growth Direct systems should exceed our customer demand, then it may not be sold at a pace that keeps up with the development of our technology and may therefore become obsolete or no longer be competitive in the marketplace. We have experienced, and may in the future experience, expiry of certain limited shelf life consumables in our inventory that rendered such inventory unsellable and resulted in charges to product cost of goods sold, adversely impacting our gross margins. Conversely, failure to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sufficient inventory levels to support customer demand may impact our ability to meet customer demand, disrupt our customers’ workflows and business operations, damage our relationships with our customers and our reputation and lead to customer dissatisfaction. Failure by us to adequately manage our inventory could adversely impact our business operations, financial condition and results of operations, including with respect to working capital and gross margins.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we commercialize additional products in the future, we will need to incorporate new equipment, implement new technology systems and processes, and hire new personnel, possibly with supplemental or different qualifications as compared to our current personnel. Failure to manage this growth or transition could result in product delays, higher cost of product revenue,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limited experience in marketing and sales, and if we are unable to successfully market our products to new and existing customers, address our customers’ needs or to expand our customer base, our business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limited experience in marketing and selling our products and we currently rely on a small team to make direct sales in countries around the world. There are significant risks involved with relying on our own marketing and sales capabilities, including our ability to design and execute effective sales processes, generate and convert sufficient sales opportunities into new customers and place additional systems with existing customers. We have recently expanded our sales organization and implemented measures designed to improve the effectiveness of our sales force, but there can be no assurance that those efforts will translate into improved commercial outcomes.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Competition for employees capable of selling capital equipment such as the Growth Direct system into the pharmaceutical industry is intense. There are significant expenses and risks involved with having our own sales and marketing team, including our ability to hire, train, retain, and appropriately incentivize a sufficient number of qualified individuals, generate sufficient sales leads and provide our sales and marketing team with adequate access to customers who may want to purchase our products, effectively manage a geographically dispersed sales and marketing team, and other unforeseen costs and expenses. We may not be able to attract and retain personnel or be able to build an efficient and effective sales organization, which could negatively impact sales and market acceptance of our products and limit our revenue growth and potential profitability. In addition, the time and cost of establishing a specialized sales, marketing and service force for a particular product or service may be difficult to justify in light of the revenue generated or projected.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engage distributors or other strategic partners for the sale of our products, including in jurisdictions outside of the U.S. For example, in 2025, we entered into the Distribution Agreement with MilliporeSigma. There can be no assurance that we can identify and enter into additional arrangements with distributors or other strategic partners on terms that are favorable to us or at all. In some cases, we would exert limited control over these distributors, and if their sales and marketing efforts for our products are not successful, our business would be materially and adversely affected. We may not be successful in locating, qualifying and engaging distributors with industry experience and knowledge, including that of jurisdictions outside of the U.S. Even if we are successful in identifying distributors, such distributors may engage in sales practices that violate federal, state, local or foreign laws or our internal policies. Furthermore, with respect to distributors in non-U.S. jurisdictions, sales practices utilized by any such distributors that are locally acceptable may not comply with sales practices standards required under U.S. laws that apply to us, which could create additional compliance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these issues could impair our ability to successfully place our Growth Direct systems and meet our revenue expectations.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recently-announced cost reduction effort may not result in anticipated savings, could result in total costs and expenses that are greater than expected and could disrupt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2026, we implemented certain cost actions, including a reduction in our current workforce, the closure of certain open and planned positions and reductions in other non-headcount-related expenses across the business. These actions are part of our ongoing efforts to prudently manage our cash resources and are expected to result in approximately $3 million in cash savings for the full year 2027 and approximately $1 million over the balance of 2026. We expect to record a charge of approximately $0.4 million in the third quarter of 2026 related to this initiative. We may not realize, in full or in part, the anticipated benefits and cost savings from this initiative due to unforeseen difficulties, delays or unexpected costs. If we are unable to realize the expected operational efficiencies and cost savings while maintaining our business performance, our operating results and financial condition could be adversely affected. For example, reduced headcount in our research and development teams may impair our ability and efforts to develop and commercialize new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improved products. Decreased resources within our operations teams may negatively affect our ability to build our products in an efficient manner or at all, and may contribute to unfavorable trends in gross margins. Within our general and administrative teams, reductions may result in degraded support to our other business functions, including in respect of finance, legal and human resources. If future results of operations lag our expectations, we may undertake additional workforce reductions or restructuring activities. Any or all such measures could divert the attention of management, yield attrition beyond our intended reduction in workforce, reduce employee morale, or cause us to delay, limit, reduce or eliminate certain development plans, each of which could have an adverse impact on our business, operating results and financial condition. These measures may also reduce our existing customers’ confidence in us, disrupt our sales processes and negatively impact our customer service operations. Our failure to adequately address any of these issues could have a material adverse effect on our business, operating results and financial condition.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manage our future growth effectively, which could make it difficult to execute our business strategy.</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have devoted significant efforts to streamline our business operations and refocus our personnel strategy, with the goal of achieving sustained growth in our business operations. The volatility in our growth has required significant time and attention from our management, and placed strains on our operational and manufacturing systems and processes, financial systems and internal controls and other aspects of our business. As needed, we expect to selectively increase headcount and to hire more specialized personnel in the future as we grow our business. We will need to continue to hire, train and manage additional qualified engineers, client and account services personnel, sales and marketing staff, software, manufacturing, distribution and quality assurance personnel in order to develop and launch new products, innovate and improve our existing products and successfully commercialize our platform and solutions. We may also need to hire, train and manage individuals with expertise that is separate, supplemental or different from expertise that we currently have, and accordingly we may not be successful in hiring, training and managing such individuals. If our new hires perform poorly, if we are unsuccessful in hiring, training, managing and integrating these new employees, or if we are not successful in retaining our existing employees, our business may be harmed. In addition, our compensation arrangements, such as our equity award programs, may not always be successful in attracting new employees and retaining and motivating our existing employees.</w:t>
      </w:r>
      <w:r>
        <w:rPr>
          <w:color w:val="000000"/>
        </w:rPr>
        <w:t xml:space="preserve"> </w:t>
      </w:r>
      <w:r>
        <w:rPr>
          <w:rFonts w:ascii="Times New Roman;serif" w:hAnsi="Times New Roman;serif"/>
          <w:b w:val="false"/>
          <w:color w:val="000000"/>
          <w:sz w:val="20"/>
        </w:rPr>
        <w:t>We may need to issue additional equity securities to attract job candidates or issue additional securities to retain personnel.</w:t>
      </w:r>
      <w:r>
        <w:rPr>
          <w:color w:val="000000"/>
        </w:rPr>
        <w:t xml:space="preserve"> </w:t>
      </w:r>
      <w:r>
        <w:rPr>
          <w:rFonts w:ascii="Times New Roman;serif" w:hAnsi="Times New Roman;serif"/>
          <w:b w:val="false"/>
          <w:color w:val="000000"/>
          <w:sz w:val="20"/>
        </w:rPr>
        <w:t>In making employment decisions, job candidates and existing personnel often consider the value of the equity awards they would receive in connection with their employment and fluctuations in our stock price, or a perception that the market price of our stock may not increase or may increase more slowly than stock prices at other companies, may make it more difficult to attract, retain, and motivate 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have grown, our employees have become more geographically dispersed. We serve customers located in multiple countries and plan to continue to expand to new countries as part of our growth strategy, which will lead to increased dispersion of our employees, including sales employees and employees who are in our service and support groups. We may face challenges integrating, developing and motivating our rapidly growing and increasingly dispersed employee base.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maintain the quality, reliability or robustness of our platform, or the expected turnaround times of our services and support, or to satisfy customer demand as it grows. Our ability to manage our growth properly will require us to continue to improve our operational, financial and management controls, as well as our reporting systems and procedures. To effectively manage our growth, we must continue to improve our operational and manufacturing systems and processes, our financial systems and internal controls and other aspects of our business and continue to effectively expand, train and manage our personnel. The time and resources required to improve our existing systems and procedures, implement new systems and procedures and to adequately staff such existing and new systems and procedures is uncertain, and failure to complete such activities in a timely and efficient manner could adversely affect our operations and negatively impact our business and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cannot compete successfully, we may be unable to increase or sustain our revenue, or achieve and sustain profitability.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primarily compete with established companies that provide consumables for MQC testing and with a limited number of established and early-stage companies that have automated MQC testing systems. In addition, our customers may also elect to continue to use the traditional MQC testing method rather than our platform and may decide to stop using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competitors and potential competitors may enjoy a number of competitive advantages over us,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operating histories;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larger customer bases;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brand recognition and market penetration;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financial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technological and research and development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better system reliability, robustness and features;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selling and marketing capabilities;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better established, larger scale and lower cost manufacturing capabilities.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our competitors and potential competitors may be able to respond more quickly to changes in customer requirements, devote greater resources to the development, promotion and sale of their platforms or systems than we can or sell their platforms or systems, or offer services competitive with our platform and services at prices designed to win significant levels of market share. We may not be able to compete effectively against these organizations.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Further, competition in the automated MQC testing market, while currently limited, is growing and may continue to increase in future, and we may not be able to maintain our leading position in the industry as a result. If we are unable to compete successfully, we may be unable to increase market adoption and sales of our platform, which could prevent us from increasing our revenue or achieving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must develop new products, adapt to rapid and significant technological change and respond to introductions of new products by competitors to remain competitive.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sell our products in industries that are characterized by significant enhancements and evolving industry standards. As a result, our customers’ needs are rapidly evolving. If we do not appropriately innovate and invest in new technologies, our products and services may become less desirable in the markets we serve, and our customers could move to new technologies offered by our competitors or decide to revert to the traditional MQC testing method. Although we believe customers in our markets display a significant amount of loyalty to their supplier of a particular product, we also believe that because of the initial time investment required by many of our customers to reach a purchasing decision for a new product, it may be difficult to regain that customer once the customer migrates away from using our solutions to that of a competitor. Without the timely introduction of new products, services and enhancements, our offerings will likely become less competitive over time, thus harming our competitive position. In some instances, specific circumstances of particular customer(s) may require us to innovate on our products to meet those needs, and failure to do so may hinder our ability to sell our solutions to or maintain our relationships with those customer(s). Accordingly, we focus significant efforts and resources on the development and identification of new technologies, products and markets to further broaden our offerings. For example, our Growth Direct platform relies on machine learning to train its vision algorithms for the detection of microbial growth, a technological field that is undergoing immense and rapid innovation. If we are unable to capitalize on this innovation and effectively use and deploy AI and machine learning technologies and integrate them into our existing and future product offerings and services, the competitiveness of our platform in our marketplace could be undermined. To the extent we fail to timely introduce new and innovative products or services, adequately predict our customers’ needs or fail to achieve market acceptance, our business may suffer and our operating results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Due to the significant resources required to enable access in new markets, we must make strategic and operational decisions to prioritize certain markets, products and services. We may expend our resources to access markets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develop products and services that do not yield meaningful revenue or we may fail to capitalize on markets, products or services that may be more profitable or with a greater potential for success.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platform has potential applications across a wide range of markets and we have targeted certain markets in which we believe our technology has significant advantages or a higher probability of success or greater revenue opportunity, such as the manufacture of cell and gene therapies. We seek to maintain a process of prioritization and resource allocation among our programs to maintain a balance between advancing near-term opportunities and exploring additional markets for our platform. However, due to the significant resources required for the development of products and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 or service and may divert resources away from better opportunities. Similarly, we may choose to pursue certain markets, which may not be as profitable as other markets that we did not pursue due to our limited resources. As a result, our business, financial condition, results of operations and prospects could be adversely impacted.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Growth Direct platform may contain undetected errors or defects or may not otherwise meet the expectations of our customers, which means our business, financial condition, results of operations and prospects could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Growth Direct platform includes the Growth Direct system, proprietary consumables and our laboratory information management system (“LIMS”) connection and other software. There could be undetected errors or defects despite our rigorous testing of our platform and its components, and the Growth Direct platform may otherwise not meet the expectations of our customers. Disruptions or other performance problems with our platform or with the components that comprise our platform may adversely impact our customers’ manufacturing process, compliance workflow or business, harm our reputation and result in reduced revenue or increased costs, such as those associated with repairs, replacements or reacquisitions of our systems. If such challenges occur, the attention of our key personnel could be diverted, or other significant customer relations problems may arise. We may also be subject to warranty claims or breach of contract for damages related to errors or defects in our products. Additionally, we may be subject to legal claims arising from any defects or errors in our platform, and in the systems, consumables and software that comprise our platform. In the past, we have repaired, and in exceptional cases, replaced or reacquired Growth Direct systems under warranty. In addition, we have undertaken, and in the future may undertake, goodwill and customer satisfaction initiatives that involve the shipping of additional or replacement deliveries of our products, such as consumables, at no charge to customers. All of the foregoing adversely impact our gross margins and have required, and may in the future require, the expenditure of resources. Our failure to prevent or adequately address any of foregoing risks could have a material adverse effect on our business, operating results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on, among other things, the market’s confidence that the Growth Direct platform is capable of substantially enhancing quality control in the conduct of manufacturing activities as compared to the traditional method of MQC testing or that of competitive products, and will enable more efficient or improved drug manufacturing. Pharmaceutical companies and contract development and manufacturing organizations (“CDMOs”), are likely to be particularly sensitive to defects and errors in the use of our platform, including if our platform fails to deliver meaningful improvements in MQC testing with results at least as good as the results generated using the traditional method of MQC testing, or new methods of automated MQC testing being developed and sold by emerging competitors. There can be no guarantee that our platform will meet the expectations or needs of these companies or CDMOs.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complexity of our products and the amount of lead time required to deliver products to our customers have caused in the past, and may cause in the future, delays in releasing new products and workflows. In addition, we have experienced in the past, and may experience in the future, challenges with our products, such as the reliability of our systems. If there are delays in delivering our products to our customers, or if our products fail to perform as well as or better than traditional MQC testing and competitive products or fail to generate reliable results for our customers, or our products otherwise fail to meet our customers’ expectations our revenue could be reduced or delayed, which could adversely affect our business, financial condition, results of operations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complexities also require that we train our customers to operate our Growth Direct platform, which is expensive and time consuming. Any misuse of our products, including as a result of inadequate training, could cause our products not to perform as expected or to fail to demonstrate the process advantages of our products. The training requirement may also deter some customers from utilizing our products. Any of these results could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Potential product liability lawsuits against us could cause us to incur substantial liabilities and limit commercialization of any products that we may develop.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any product we may develop and the sale of any products exposes us to the risk of product liability claims. Product liability claims might be brought against us by pharmaceutical companies, contract organizations or others selling or otherwise coming into contact with our products. If we cannot successfully defend against product liability claims, we could incur substantial liability and costs. In addition, regardless of merit or eventual outcome, product liability claims may result 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impairment of our business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costs to defend the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distraction of management’s attention from our primary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substantial monetary awards to claimants;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to commercialize a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recalls or withdrawals;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market demand for any product;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product liability insurance we currently carry, and any additional product liability insurance coverage we acquire in the future, may not be sufficient to reimburse us for any expenses or losses we may suffer. In the future, we may not be able to maintain insurance coverage at a reasonable cost or in sufficient amounts to protect us against losses due to liability. A successful product liability claim, or series of claims, brought against us could cause our share price to decline and, if judgments exceed our insurance coverage, could adversely affect our results of operation and business, including preventing or limiting the commercialization of any products we develop.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lose key management, cannot recruit qualified employees, directors, officers or other significant personnel or experience increases in our compensation costs, our business may be materially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highly dependent on our management and directors, including our Chief Executive Officer, Robert Spignesi, among others. Due to the specialized knowledge each of our officers and key employees possesses with respect to our products and services and our operations, the loss of service of any of our officers or directors could delay or prevent successful sales and the expansion of our platform. We do not carry key person life insurance on our Chief Executive Officer or our other officers or directors. In general, the employment arrangements that we have with our executive officers do not prevent them from terminating their employment with us at any time.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market and sell our products successfully. Competition to hire from this limited pool is intense, and we may be unable to hire, train, retain or effectively incentivize these additional key personnel on acceptable terms given the competition among numerous technology companies for similar personnel. If we are unable to attract qualified personnel and retain our current employees, our ability to develop and sell our products could be limited and our business and customer relationships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depend on our information technology (“IT”) systems, and any failure of these systems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information technology and telecommunications systems for significant elements of our operations, including our knowledge management system, our customer reporting, our platform, advanced automation systems, and advanced application and LIMS connection software. We have installed, and expect to expand, a number of enterprise software systems that affect a broad range of business processes and functional areas, including for example, systems handling human resources, financial controls and reporting, contract management, compliance and other infrastructure operations. These implementations can be expensive and require significant time and effort. These IT and telecommunications systems support a variety of functions, including manufacturing operations, data analysis, quality control, customer service and support, billing, research and development activities, and general administrative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and telecommunications systems are vulnerable to damage from a variety of sources, including telecommunications or network failures, malicious software, bugs or viruses, human acts and natural disasters. For example, in July 2024, many industries and businesses were disrupted globally by a software glitch associated with CrowdStrike’s cybersecurity software. While we did not experience material downtime in our IT systems, similar events in the future may disrupt our operations. Moreover, despite network security and back-up measures, our servers remain potentially vulnerable to physical or electronic break-ins, computer viruses and similar disruptive problems. Any disruption or loss of IT or telecommunications systems on which critical aspects of our operations depend could have an adverse effect on our business and our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Cybersecurity incidents and data breaches, data loss and other disruptions could compromise our confidential and/or proprietary information and other sensitive information related to our business or prevent us from accessing critical information and expose us to liability, which could adversely affect our business and our reputation.</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collect and store sensitive data, including personal information, intellectual property and proprietary business information owned or controlled by ourselves or our employees, customers and other parties.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research and development information, customer information, commercial information and business and financial information. We, like all companies storing business-critical information, face a number of risks relative to protecting this critical information, including loss of access, inappropriate use or disclosure, unauthorized access or exfiltration, inappropriate modification, inappropriate destruction, and the risk of our being unable to adequately monitor and audit and modify our controls over our critical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take measures to protect sensitive data from unauthorized access, use or disclosure, our IT and infrastructure may still be vulnerable to, and we have in the past experienced and may continue to experience in the future, attacks by hackers or viruses or data breaches due to employee error, malfeasance or other malicious or inadvertent disruptions. We may also face increased cybersecurity risks due to our reliance on internet technology and the number of our employees who are working remotely, which may create additional opportunities for cybercriminals to exploit vulnerabilities. Furthermore, the use of AI technologies by us and third-party vendors can also give rise to cybersecurity risks as well as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AI tools. Any of these effects could damage our reputation, result in the loss of valuable property and information, cause us to breach applicable laws and regulations, and adversely impact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attacks upon IT systems, including ransomware attacks and digital extortion, business email compromises, social engineering, including phishing attacks, denial of service attacks, computer malware, malicious codes, viruses, wrongful intrusions, wrongful conduct by insider employees or vendors, data breaches, and other malicious internet-based activity are increasing in their frequency, levels of persistence, sophistication and intensity, and are being conducted by sophisticated and organized groups and individuals with a wide range of motives, capabilities, and expertise, and may be enhanced or facilitated by AI. For example, bad actors around the world are increasingly using AI to engage in illegal activities involving the theft and misuse of personal information, confidential information and intellectual property. Furthermore, because the techniques used to obtain unauthorized access to, or to sabotage, systems change frequently and often are not recognized until launched against a victim entity, we may be unable to anticipate these techniques or implement adequate preventative measures. While we have measures in place to identify, detect and mitigate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threats and incidents, they are not failproof, so we may also experience security incidents that may remain undetected for an extended period. Any such incident could result in the compromise of our information systems, and the data stored there could be accessed, encrypted, corrupted, modified, publicly disclosed, lost or stolen. Any such incident could result in legal notifications and/or disclosures, as well as legal claims or proceedings, including for breaches of confidential information obligations with contractual counterparties, and liability under federal or state laws that protect the privacy of personal information, and regulatory penalties. Notice of cybersecurity incidents and data breaches may be required to affected individuals, customers, or other state, federal or foreign regulators, and for extensive breaches, notice may need to be made to the media or State Attorneys General. Such a notice could harm our reputation and our ability to compete. Although we have implemented security measures to prevent, detect and respond to security incidents, our data is currently accessible through multiple channels, and there is no guarantee we can protect our data from breach. Unauthorized access to our information systems, and the loss, destruction or, dissemination of data stored within them could also disrupt or halt our operations and damage our reputation, any of which could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currently subject to, and may in the future become subject to additional, U.S., state, federal, and foreign laws and regulations imposing obligations on how we collect, store, safeguard and process personal information. Our actual or perceived failure to comply with such obligations could harm our business. Our efforts to comply with such laws could require significant resources and expenses and also impair our efforts to maintain and expand our customer base, and thereby decrease our revenue.</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and may increasingly become, subject to various laws and regulations, as well as contractual obligations, relating to data privacy and security of personal information we collect and process. The regulatory environment in the U.S. and abroad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various federal and state laws relating to the privacy and security of personal information impose obligations on how we collect, store, use, transmit, secure, and otherwise process such data. These laws, such as Section 5 of the Federal Trade Commission Act, the California Consumer Privacy Act (“CCPA”) and numerous other U.S. state consumer privacy laws, generally provide consumers right to restrict our use of their personal information and limit our disclosure to third parties. The CCPA, for example, establishes data privacy rights for California residents and obligates covered businesses to comply with specific requirements related to data use, transparency, deletion, and opt-out of the selling or sharing of personal information. Certain state laws may be more stringent or broader in scope, or offer greater individual rights, with respect to personal information than federal, international or other state laws, and such laws may differ from each other, all of which may complicate compliance efforts. Such laws may have potentially conflicting requirements that would make compliance challenging. </w:t>
      </w:r>
    </w:p>
    <w:p>
      <w:pPr>
        <w:pStyle w:val="TextBody"/>
        <w:bidi w:val="0"/>
        <w:spacing w:lineRule="auto" w:line="268" w:before="240" w:after="283"/>
        <w:ind w:left="0" w:right="0" w:firstLine="360"/>
        <w:jc w:val="left"/>
        <w:rPr/>
      </w:pPr>
      <w:r>
        <w:rPr>
          <w:rFonts w:ascii="Times New Roman;serif" w:hAnsi="Times New Roman;serif"/>
          <w:b w:val="false"/>
          <w:color w:val="000000"/>
          <w:sz w:val="20"/>
        </w:rPr>
        <w:t>More than a dozen other U.S. states have passed their own comprehensive privacy laws with more expected to pass in the coming years. Such laws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adverse changes in business data collection and use practices and policies. Some states have also either passed or proposed privacy and data protection legislation specifically protecting health-related information. The existence of varying and potentially conflicting comprehensive privacy laws in different U.S. states could make our compliance obligations more complex, may require us to expend significant resources in connection with our compliance efforts and</w:t>
      </w:r>
      <w:r>
        <w:rPr>
          <w:color w:val="000000"/>
        </w:rPr>
        <w:t xml:space="preserve"> </w:t>
      </w:r>
      <w:r>
        <w:rPr>
          <w:rFonts w:ascii="Times New Roman;serif" w:hAnsi="Times New Roman;serif"/>
          <w:b w:val="false"/>
          <w:color w:val="000000"/>
          <w:sz w:val="20"/>
        </w:rPr>
        <w:t>subject us to enforcement actions or otherwise incur liability for any actual or perceived noncompliance, including litigation, enforcement actions and reputational harm leading to a loss of existing and future business.</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laws, regulations and standards in many jurisdictions apply broadly to the collection, use, retention, security, disclosure, transfer and other processing of personal information. For example, with respect to the collection and processing of personal data relating to our personnel, customers and establishments in Europe,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our offering of goods or services to/the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monitoring of the behavior of individuals in the UK and EEA; or (b) the activities of any of our establishments in the UK or any EEA Member State, such as our German subsidiary. In this Quarterly Report on Form 10-Q, references to “GDPR” encompass both the EU GDPR and UK GDPR, unless otherwise specified. The GDPR is wide-ranging in scope and imposes numerous requirements on companies that process personal data, including requiring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processors. The GDPR also imposes strict rules on the transfer of personal data to countries outside the EEA or the U.K., including transfers of personal data from Europe to the United States in certain circumstances. Any inability to transfer personal data from Europe to the United States in compliance with data protection laws may impede our operations and may adversely affect our business and financial position. Switzerland has also implemented data protection laws with similar obligations and triggers to the GDPR which we may be subject to in connection with our Swiss subsidiary, personnel and customers.</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complex and evolving nature of data protection laws and regulations may lead to additional compliance costs, including as a result of diverging international data privacy laws and regulations and related uncertainties. There can be no assurances that we will be successful in our efforts to comply with the multitude of U.S., state, federal, and foreign privacy and data security laws, and violations of such laws could result in regulatory investigations and significant fines, as well as civil claims including class actions, and reputational damage.</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Regulators and legislators in the U.S. are increasingly scrutinizing and restricting certain personal data transfers and transactions involving foreign countries. For example, the Department of Justice Rule, implemented as of January 8, 2025,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Like many companies, we use AI and machine learning technologies, including generative AI, to efficiently grow and manage our business. These technologies have increasingly been the focus of attention for lawmakers and regulators around the globe.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AI tools by our employees or third parties on which we relay may increase over time and may lead to unauthorized or unintended disclosures of confidential information (including personal information or proprietary data). In addition, we may use AI outputs to inform certain decisions we make, and the outputs we rely on may be incomplete, inaccurate, or otherwise flawed, despite appearing to be accurate and reliable. Potential flaws in the AI tools that we use, or our incorrect application of them, could cause us to make decisions that unfairly bias certain individuals or classes of individuals and adversely impact their rights. As a result, we could face adverse consequences, including exposure to reputational and competitive harm, loss of business, and legal and contractual liabilities.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growing number of legislators and regulators are adopting laws and regulations and have focused enforcement efforts on the adoption of AI, and use of such technologies in compliance with safety requirements, intellectual property and privacy laws, ethical standards and societal expectations. In addition, U.S. states and the federal government have adopted a wide variety of measures to 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Outside the U.S., lawmaking and regulation relating to AI is proceeding at a similar pace, which also may increase our compliance burden and costs in connection with our use of AI and lead to legal liability if we fail to meet evolving legal standards or if use of such technologies results in harms or other causes of action we did not predict.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evaluate strategic opportunities for our business, including through acquisitions, joint ventures or investments in other companies or technologies that could negatively affect our operating results, dilute our stockholders’ ownership, increase our debt or cause us to incur significant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may opportunistically pursue acquisitions of businesses and assets that we believe may be complementary or synergistic with our own, or strategic alliances and joint ventures that leverage our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industry experience to expand our offerings or distribution. We have no experience with acquiring other businesses or assets and limited experience with forming strategic partnerships. We may not be able to find suitable collaborators or acquisition candidates, and we may not be able to complete such transactions on favorable terms, if at all. The competition for collaborators or acquisition candidates may be intense, and the negotiation process will be time consuming and complex. If we make any acquisitions, we may not be able to integrate these acquisitions successfully into our existing business, these acquisitions may not strengthen our competitive position, the transactions may be viewed negatively by customers or investors, we may be unable to retain key employees of any acquired business, relationships with key suppliers, manufacturers or customers of any acquired business may be impaired due to changes in management and ownership, and we could assume unknown or contingent liabilities. Any future acquisitions also could result in contingent liabilities or future write-offs of intangible assets or goodwill, any of which could have a material adverse effect on our business, financial condition, results of operations and prospects. We cannot guarantee that we will be able to fully recover the costs of any acquisition. Integration of an acquired company also may disrupt ongoing operations and require management resources that we would otherwise focus on developing our existing business. We may not realize the anticipated benefits of any acquisition, technology license, strategic alliance or joint venture. We also may experience losses related to investments in other companies, which could have a material adverse effect on our business, financial condition, results of operations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fund any such acquisitions or joint ventures, we may choose from a number of financing alternatives that may be accompanied by drawbacks. For example, if we incur debt, we may be required to abide by restrictive covenants or grant security interests in our assets to secure such debt. If we issue equity as consideration, such issuances would dilute the ownership of our stockholders or, in the case of preferred equity, may impose preferential terms that are senior to those of our common stockholders. Additional funds may not be available on terms that are favorable to us, or at all. If the price of our Class A common stock is low or volatile, we may not be able to acquire companies or fund a joint venture project using our stock as consideration.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may not realize the intended benefits of our strategic partnerships and other collaborations, and such relationships may introduce additional risks to our business.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and continue to seek to enter into strategic partnerships and other kinds of collaborations as part of our business strategy. While we believe that these and similar relationships are critical to our ability to innovate, expand our market reach and deliver comprehensive solutions to our customers, they involve numerous risks and uncertainties. We may not achieve the expected benefits from these types of strategic collaborations and these relationships may introduce complexities and risks into our business.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For example, in January 2025, we announced that Lonza successfully integrated our Growth Direct system with its MODA-EM module to combine paperless processes with automated microbial enumeration for pharmaceutical quality control, as discussed further under Item 1. Business –</w:t>
      </w:r>
      <w:r>
        <w:rPr>
          <w:color w:val="000000"/>
        </w:rPr>
        <w:t xml:space="preserve"> </w:t>
      </w:r>
      <w:r>
        <w:rPr>
          <w:rFonts w:ascii="Times New Roman;serif" w:hAnsi="Times New Roman;serif"/>
          <w:b w:val="false"/>
          <w:i/>
          <w:color w:val="000000"/>
          <w:sz w:val="20"/>
        </w:rPr>
        <w:t>Integration with MODA® Platform</w:t>
      </w:r>
      <w:r>
        <w:rPr>
          <w:color w:val="000000"/>
        </w:rPr>
        <w:t xml:space="preserve"> </w:t>
      </w:r>
      <w:r>
        <w:rPr>
          <w:rFonts w:ascii="Times New Roman;serif" w:hAnsi="Times New Roman;serif"/>
          <w:b w:val="false"/>
          <w:color w:val="000000"/>
          <w:sz w:val="20"/>
        </w:rPr>
        <w:t>in our Annual Report on Form 10-K. There can be no assurance that the benefits observed by Lonza will be replicated in the experiences of other customers, or that such benefits, even if achieved by other customers, will drive further market adoption of our platform. In addition, as a large, multinational manufacturing company, Lonza may seek similar collaboration opportunities to integrate other technologies and platforms, including those of our competitors. As a result, despite the current integration of our Growth Direct system with Lonza’s MODA-EM module, we may not experience increased sales of our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addition, in February 2025, we entered into a Distribution and Collaboration Agreement (the “Distribution Agreement”) with Millipore S.A.S., a subsidiary of the Life Science business of Merck KGaA, Darmstadt, Germany, which operates in the U.S. as MilliporeSigma, pursuant to which we granted our collaborator the co-exclusive right to distribute certain of our products, as discussed further under Item 1. Business – </w:t>
      </w:r>
      <w:r>
        <w:rPr>
          <w:rFonts w:ascii="Times New Roman;serif" w:hAnsi="Times New Roman;serif"/>
          <w:b w:val="false"/>
          <w:i/>
          <w:color w:val="000000"/>
          <w:sz w:val="20"/>
        </w:rPr>
        <w:t>Distribution and Collaboration Agreement with Millipore S.A.S.</w:t>
      </w:r>
      <w:r>
        <w:rPr>
          <w:color w:val="000000"/>
        </w:rPr>
        <w:t xml:space="preserve"> </w:t>
      </w:r>
      <w:r>
        <w:rPr>
          <w:rFonts w:ascii="Times New Roman;serif" w:hAnsi="Times New Roman;serif"/>
          <w:b w:val="false"/>
          <w:color w:val="000000"/>
          <w:sz w:val="20"/>
        </w:rPr>
        <w:t xml:space="preserve">in our Annual Report on Form 10-K. Our ability to generate sales and product revenue under this agreement is dependent on the performance and cooperation of our distributor. Our distributor may not meet its obligations, including with respect to its initial purchase commitments, experience financial difficulties, undergo adverse changes in its business or shift its focus away from selling our products. Furthermore, during the term of the agreement, we are prohibited from engaging other third parties to sell our products so long as a purchase commitment by the distributor is in place. There can be no assurance that our distributor will make additional commitments to purchase our products. The interests of our distributor may diverge from ours, and disagreements over key decisions or strategies could lead to conflict, impaired collaboration or the dissolution of the collaboration. We may not successfully manage channel conflicts with our distributor and our selling efforts to certain customers may overlap with those of our distributor, which may lead to disputes over which party should receive credit for a given sale or which party should manage the customer relationships that are created or deepened during the course of the collaboration. Our distributor is headquartered in France and, as a subsidiary of a large, multinational science and technology company, may have different corporate cultures, operational procedures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practices, all of which can be challenging to manage. In engaging in its selling and marketing efforts, our distributor may place substantial and time-sensitive demands on the attention and resources of our employees and management, including those related to answering questions and fielding requests from its sales force and otherwise assisting our distributor with its commercial activities in respect of our products, all of which may divert the focus of our personnel.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distribution arrangement includes tier-based transfer pricing on the covered products, which may adversely impact the margins that we achieve on sales of our products. If our distributor achieves commercial traction with our products, we may become reliant on our distributor through increased sales to customers. In addition, as both parties begin to perform under the services agreement that we recently entered into with our distributor, we may become dependent on this distributor in engaging us to provide our services to certain customers to whom the distributor has the primary responsibility to sell and distribute those services. Similarly, if we enter into a supply agreement as contemplated by our Distribution Agreement, we may become dependent on the distributor as part of our effort to lower the costs of our products. In that event, we may suffer significant and adverse consequences to our business operations, sales, revenue, product margins and customer experience in the event our collaboration is terminated.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while our distribution arrangement is global and covers all fields related to industrial quality control applications in the pharmaceutical, medical device, personal care, cosmetics and food and beverage spaces, we have historically focused our selling efforts to pharmaceuticals manufacturers and specifically in North America, Europe and, to a lesser extent, Asia-Pacific. There can be no assurance that our distributor will be successful in achieving market penetration of our products in additional fields or geographies. Expanding the application of our products into such additional fields and geographies may introduce additional risks, including in respect of regulatory and compliance, as we seek to navigate and comply with laws and regulations applicable to such fields and territories. Any non-compliance by us or our distributor with applicable laws and regulations could lead to legal liabilities, financial penalties and reputational damage for us.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effectively manage these risks and uncertainties, our relationships with current and prospective collaborators may not deliver the expected benefits, and may also introduce risks that could adversely affect our business operations,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Activities associated with repair or replacement of our products, including due to warranties we provide on our Growth Direct systems and consumables, could have a material adverse effect on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standard terms and conditions for customers generally provide for a one-year limited assurance warranty on Growth Direct systems, which is included in the sales price. Similarly, from time to time, we have determined, and may in the future determine, to repair, replace or otherwise remedy other products, including our consumables, at no charge to customers. These activities may take the form of goodwill and customer satisfaction initiatives that involve the shipping of additional or replacement deliveries of our consumables. As a result, we have incurred, and may in the future incur, costs associated with our warranties and activities of these types, and these costs could have a material adverse effect on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foregoing activities, we establish an accrual for estimated warranty expenses based on historical information, current cost data and future forecasts. We exercise judgment in establishing these reserves, which includes determining the expected product warranty costs using estimated material, labor and other costs, as well as the expected volume of repairs or replacements that we may make. While we believe that historical experience provides a reliable basis for estimating such costs, unforeseen quality issues or component failure rates could cause actual costs to exceed such estimates. As of June 30, 2026, we had $0.2 million reserved for warranty costs. The amounts that we accrue for estimated warranty expenses adversely impact our gross margins. Our warranty activity could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insurance policies are expensive and protect us only from some business risks, which leaves us exposed to significant uninsured liabilities.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carry insurance for all categories of risk that our business may encounter and our policies have limits and significant deductibles. Some of the policies we currently maintain include general liability, property, umbrella, cybersecurity, and directors’ and officers’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A successful product liability claim or series of claims in which judgments exceed our insurance coverage could adversely affect our business, financial condition, results of operations and prospects, including preventing or limiting the commercialization of any products we develop.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as a public company makes it more difficult and more expensive for us to obtain director and officer liability insurance, and we may be required to accept reduced policy limits and coverage, seek alternative insurance options or incur substantially higher costs to obtain the same or similar coverage. As a result, it may be more difficult for us to attract and retain qualified people to serve on our board of directors, our board committees or as executive officers. Any significant uninsured liability may require us to pay substantial amounts, which would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exposes us to business, regulatory, political, operational, financial and economic risks associated with doing business outside of the United States.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achieving significant and increasing sales to customers and sites outside of the U.S. As a result, we have established relationships with customers outside of the U.S. and may in the future seek to expand our international customer base. To that end, our staff is located in North America, Europe and the Asia-Pacific region, and we intend to further expand our international presence. Doing business internationally involves a number of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by us or our distributors to obtain approvals to conduct our business in various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differing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complexities and difficulties in obtaining intellectual property protection, enforcing our intellectual property and defending against third-party intellectual property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logistics and regulations associated with shipping systems and parts and components for systems and consumables, such as import and export controls that apply or may become applicable to our products, or changes in such controls that impact our ability to source, manufacture and deliver products to our customers, as well as transportation delays;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travel restrictions that limit the ability of marketing, presales, sales, services and support teams to service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international trade disputes that have resulted or could in the future result in tariffs and other protective measures taken by the U.S. or other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natural disasters, the severity and frequency of which may be amplified by global climate change, political and economic instability, including wars, terrorism and political unrest, outbreak of disease, boycotts, curtailment of trade and other business restrictions;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and compliance risks, including severe penalties such as criminal and civil penalties, disgorgement and other remedial measures, that relate to the U.S. Foreign Corrupt Practices Act, the U.K. Bribery Act 2010 and similar anti-bribery and anti-corruption laws in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for which we intend to operate, or the perception that any of them could occur, creates further challenges for operating in these markets in addition to creating instability in global economic conditions.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In addition, in certain geographies, we may need to rely on distributors, partners and other collaborators to penetrate those markets, and there can be no assurance that we will be able to secure relationships with such parties or that such parties will comply with legal and regulatory standards that are applicable to our business.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pStyle w:val="TextBody"/>
        <w:bidi w:val="0"/>
        <w:spacing w:lineRule="auto" w:line="288" w:before="240" w:after="283"/>
        <w:jc w:val="left"/>
        <w:rPr/>
      </w:pPr>
      <w:r>
        <w:rPr>
          <w:rFonts w:ascii="Times New Roman;serif" w:hAnsi="Times New Roman;serif"/>
          <w:b/>
          <w:i/>
          <w:color w:val="000000"/>
          <w:sz w:val="20"/>
        </w:rPr>
        <w:t>High inflation rates, and the potential for a change in macroeconomic conditions, could negatively impact our revenues and profitability if increases in the prices of our Growth Direct systems or a decrease in customer spending results in lower sales.</w:t>
      </w:r>
      <w:r>
        <w:rPr>
          <w:color w:val="000000"/>
        </w:rPr>
        <w:t xml:space="preserve"> </w:t>
      </w:r>
      <w:r>
        <w:rPr>
          <w:rFonts w:ascii="Times New Roman;serif" w:hAnsi="Times New Roman;serif"/>
          <w:b/>
          <w:i/>
          <w:color w:val="000000"/>
          <w:sz w:val="20"/>
        </w:rPr>
        <w:t>In addition, if our costs increase and we are not able to pass along these price increases to our customers, our net income would be adversely affected, and the adverse impact may be 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Increased inflation, and the potential for a change in macroeconomic conditions, may result in decreased demand for our products and services, increased operating costs (including our labor costs), reduced liquidity, and limitations on our ability to access credit or otherwise raise debt and equity capital. Increases in interest rates, especially if coupled with reduced government spending and volatility in financial markets, may have the effect of further increasing economic uncertainty and heightening these risks. Recently imposed and potential future tariffs may have an inflationary effect on the prices of goods and services, including those that we utilize in the production of our products and delivery of our services. In a volatile economic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capital spending by our customers or they have a negative reaction to our pricing. A reduction in our revenue would be detrimental to our profitability and financial condition and could also have an adverse impact on our future growth.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operating our business, we may experience inflationary pressures on significant cost categories including labor, materials and freight. An inflationary environment, including factors such as tight labor markets and increasing freight and materials prices, could make it more costly for us to do business. In order to meet the compensation expectations of our prospective and current employees due to inflationary factors, we may be required to increase our labor costs, including wages and employee benefits, or risk losing skilled workers to competitors. In addition, disruptions to international logistics and to the supply and cost of fuel resulting from recent conflicts in the Middle East also can contribute to changes in global shipping capacity and demand as well as the cost of raw materials and commodities such as oil (including derivative products including fuel and plastics), all of which could negatively impact our business. If we see additional pressure on our labor, materials and freight costs, we could see negative effects on our results of operations (including product costs), cash flows and overall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Global economic and political instability and geopolitical events could adversely affect our business, financial condition or results of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could be adversely affected by a number of macroeconomic events. These include unstable economic and political conditions within the United States and foreign jurisdictions, including as a result of severe or prolonged economic downturn and geopolitical events, changes in U.S. federal policy that affect the geopolitical landscape and the shutdown of the federal government.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this regard, an unstable, weak or declining economy could result in supply chain disruptions, volatile demand for our products, abrupt changes in our customers’ buying patterns, limitations on our customers’ access to financial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ability to satisfy obligations to us, or other adverse impacts to our ability to place our Growth Direct systems. The global credit and financial markets have also generally experienced severe volatility and disruptions. A severe or prolonged economic downturn, such as a global financial crisis, could result in a variety of risks to our business, including preventing us from raising additional capital when needed on acceptable terms, if at all. There can be no assurance that further deterioration in credit and financial markets and confidence in economic conditions will not occur.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Political conditions include changes to policy implemented by the U.S. Congress and presidential administrations, which have impacted and may in the future impact, among other things, the U.S. and global economy, international trade relations, unemployment, immigration, healthcare, taxation, the U.S. regulatory environment, inflation and other areas.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Geopolitical factors, such as international tensions and military conflicts, including the conflict in the Middle East involving the U.S., Iran, Israel and several Gulf States, could adversely affect our business and/or our supply chain, business partners or customers. In the event geopolitical tensions fail to abate or deteriorate further, additional governmental sanctions may be enacted adversely impacting the global economy, its banking and monetary systems, markets or customers for our products. Such political tensions could also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particular, we may be vulnerable to certain inflationary effects stemming from these macroeconomic events. For example, a number of jurisdictions have imposed, and have threatened to increase, tariffs on goods shipped to and from the U.S. and other trading nations. Similarly, the conflict in the Middle East has disrupted and may continue to disrupt global supply chains, resulting in higher energy costs and prices of products derived from petroleum. As a result, these events may have an inflationary effect on the prices of goods and services, including those that we utilize in the production of our products and delivery of our services. If we are unable to manage such inflationary pressures, such as by passing along price increases to our customers or reduce product costs or operating expenses in other areas of our business, our gross margins, cash position and other elements of our results of operations may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Finally, a government shutdown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consultants and collaborators may engage in misconduct or other improper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fraud or other misconduct by our employees, consultants and collaborators.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we could be subject to significant civil, criminal and administrative penalties, which could have a material adverse impact on our business. Whether or not we are successful in defending against such actions or investigations, we could incur substantial costs, including legal fees and divert the attention of management in defending ourselves against any of these claims or investigations, which could have a material adverse impact on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Manufacturing and Supply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primary manufacturing facility or development facility becomes damaged or inoperable or we are required to vacate one or both facilities, our ability to conduct and pursue our manufacturing and/or development efforts would be jeopardized.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conduct our primary development and manufacturing efforts at our facility located in Lowell, Massachusetts, and our primary development efforts at our facility located in Lexington, Massachusetts. Our facilities and equipment could be harmed or rendered inoperable or inaccessible by natural or man-made disasters, the severity and frequency of which may be amplified by global climate change, or other circumstances beyond our control, including fire, power loss, communications failure, war or terrorism, or another catastrophic event, such as a pandemic or similar outbreak or public health crisis, which may render it difficult or impossible for us to support our customers and develop products. The inability to manufacture our systems and consumables could develop if our Lowell, Massachusetts facility is inoperable or suffers a loss of utilization for even a short period of time and may result in the loss of customers or harm to our reputation. Disruptions in our manufacturing operations could also adversely affect our efforts to improve the gross margins of our products. Furthermore, our facilities and the equipment we use to perform our manufacturing and development could be unavailable or costly and time consuming to repair or replace. It would be difficult, time consuming and expensive to rebuild our facilities, to locate and qualify a new facility or license or transfer our proprietary technology to a third party. Even in the event we are able to find a third party to assist in manufacturing and development efforts, we may be unable to negotiate commercially reasonable terms to engage with the third party. To mitigate certain of these risks associated with the manufacture of our consumables at our Lowell, Massachusetts facility, our Lexington, Massachusetts facility has been designed to serve as a back-up consumable manufacturing facility if needed. While we believe that we could, if necessary, transfer our manufacturing capabilities to the Lexington, Massachusetts facility, there can be no assurance that we would achieve such transfer in a timely manner or at all and mitigate disruption to our overall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manufacturing operations are dependent upon third-party suppliers, including single-source suppliers, making us vulnerable to supply shortages and price fluctuations, which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source the components of our Growth Direct system and consumables from third-party suppliers. We do not have supply agreements with most of our suppliers beyond purchase orders and, although we maintain an inventory of components, forecasted amounts may be inaccurate and we may experience shortages as a result of serious supply problems with these suppliers. There can be no assurance that our supply of components will not be limited, interrupted, or of satisfactory quality or continue to be available at acceptable prices. For example, we experienced disruptions to our supply chain as a result of the coronavirus pandemic and may experience additional disruptions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critical components of our Growth Direct system and consumables we obtain from single suppliers and the loss of supply from any of these suppliers could materially adversely affect our business. To protect against such loss, we maintain, or are working to obtain, sufficient inventory of these components to allow us to continue to manufacture our systems and consumables during the period required to qualify a new supplier. For example, the manufacturer of the camera used in our Growth Direct system discontinued production of the camera, and we have obtained a supply we believe is sufficient to allow us to meet customer demand while qualifying a new camera supplier. While we believe we have, or will have, sufficient inventory to provide protection against changes in our sole suppliers, our estimates of the length of time required to qualify a new supplier or inventory level required to manufacture our systems and consumables during that time may be incorrect, and we may run out of inventory sooner than we anticipate. In addition, we have not obtained sufficient inventory for all of our single-source components and we may not be able to do so in the amounts we predict will be required. In addition, any change to a new supplier will require us to devote substantial time and resources, result in additional costs, and could involve a period in which our products might not be produced in a timely or consistent manner. We may also be unable to enter into agreements with new suppliers on commercially reasonable terms or at all. The occurrence of any of these events could adversely affect our business and customer relationships. In addition, loss of any critical component provided by a single-source supplier could require us to change the design of our manufacturing process based on the functions, limitations, features and specifications of the replacement components.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Several other non-critical components and materials that comprise our Growth Direct platform are currently manufactured by a single supplier or a limited number of suppliers. In many of these cases, we have not yet qualified alternate suppliers and rely upon purchase orders, rather than long-term supply agreements. A supply interruption or an increase in demand beyond our current suppliers’ capabilities could harm our ability to manufacture our products unless and until new sources of supply are identified and qualified. Our reliance on these suppliers subjects us to a number of risks that could harm our business,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of supply resulting from modifications to or discontinuation of a supplier’s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product shipments resulting from uncorrected defects, reliability issues, or a supplier’s variation in a component;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lack of long-term supply arrangements for key components with our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to obtain adequate supply in a timely manner, or to obtain adequate supply on commercially reasonable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difficulty and cost associated with locating and qualifying alternative suppliers for our components in a timely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modification or change in a manufacturing process or part that unknowingly or unintentionally negatively impacts the operation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production delays related to the evaluation and testing of products from alternative suppliers, and corresponding regulatory qualifications;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in delivery due to our suppliers prioritizing other customer orders over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damage to our brand reputation caused by defective components produced by our suppliers;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increased cost of our warranty program due to product repair or replacement based upon defects in components produced by our suppliers;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 in delivery by our suppliers due to changes in demand from us or their other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interruption in the supply of components or materials, or our inability to obtain substitute components or materials from alternate sources at acceptable prices in a timely manner, could impair our ability to meet the demand of our customers, which would have an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forecast sales to determine requirements for components and materials used in our products, and if our forecasts are incorrect, we may experience delays in shipments or increased inventory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manage our operations with our third-party suppliers, we forecast anticipated product orders and material requirements to predict our inventory needs and enter into purchase orders on the basis of these requirements. Our limited historical commercial experience and recent growth may not provide us with enough data to consistently and accurately predict future demand. If our business expands and our demand for components and materials increases beyond our estimates, we or our suppliers may be unable to meet our demand. In addition, if we underestimate our component and material requirements, we may have inadequate inventory, which could interrupt, delay, or prevent delivery of our products to our customers. By contrast, if we overestimate our component and material requirements, we may have excess inventory, which would increase our expenses. Any of these occurrences would negatively affect our financial performance and business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Shipping is a critical part of our business and any changes in our shipping arrangements or damages or losses sustained during shipping could adversely affect our business, financial condition, results of operations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Shipments of our products are subject to various regulations in the various countries in which we provide our products. For example, shipments of our growth media consumables may be required to comply with the shipping requirements promulgated by the U.S. Department of Transportation, the U.S. Federal Aviation Administration, the International Air Transport Association and import and export regulations applicable to our products in the European Union, Asia-Pacific and other geographies. If we are unable to comply with any of these rules or regulations, our ability to deliver our products in a timely manner may be adversely affected. In addition, even if we are able to comply with these rules and regulations, compliance can result in increased costs. In either event, our financial results and condition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Our products could sustain serious damage or be lost in transit. If a product is damaged in transit, including damage due to consumable temperature excursion, it may result in a substantial delay in the fulfillment of the customer’s order, and depending on the type and extent of the damage and whether the incident is covered by insurance, it may result in a substantial financial loss. If our products are not delivered in a timely fashion or are damaged or lost during the delivery process, our customers could become dissatisfied and cease using our products or services, which would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biological and hazardous materials that require considerable expertise and expense for handling, storage and disposal and may result in claims against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work with materials, including chemicals, biological agents and compounds that could be hazardous to human health and safety or the environment. Our operations also produce hazardous and biological waste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addition, we cannot eliminate the risk of accidental injury or contamination from these materials or wastes, which could cause an interruption of our commercialization efforts, research and development programs and business operations, as well as environmental damage resulting in costly clean-up and liabilities under applicable laws and regulations. In the event of contamination or injury, we could be liable for damages or penalized with fines in an amount exceeding our resources and our operations could be suspended or otherwise adversely affected.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environmental laws and regulations are complex, change frequently and have tended to become more stringent. We cannot predict the impact of such changes and cannot be certain of our future compliance.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our technology, including the Growth Direct platform,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maintain, protect or enforce our intellectual property, third parties may be able to compete more effectively against us. </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ability to obtain and maintain protection of the intellectual property related to our products and technologies, particularly patents, in the United States and other countries. Obtaining, maintaining and enforcing patents in our industry is costly, time consuming and complex, and we may fail to do so with respect to patents on important products, services and technologies in a timely fashion, at a reasonable cost or at all, in the U.S. or in other potentially relevant jurisdictions. If we delay in filing a patent application, and a competitor files a patent application on the same or a similar technology before we do, we may face a limited ability to secure patent rights. Even if we can patent the technology, the patent may be limited in scope, and such limitation may be inadequate to protect our products, or to block competitor products that are similar or adjacent to ours. In addition, the United States Patent and Trademark Office (“USPTO”) and various non-U.S. governmental patent agencies require compliance with a number of procedural, documentary, fee payment and other similar provisions during the patent application process. There are situations in which non-compliance can result in abandonment or lapse of the patent or patent application, resulting in partial or complete loss of patent rights in the relevant jurisdiction. Therefore, these patents and applications may not be prosecuted and enforced in a manner consistent with the best interests of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issuance of a patent is not conclusive as to its inventorship, scope, validity or enforceability. Some of our patents or patent applications may be challenged in opposition, derivation, reexamination, inter partes review, post-grant review, interference, or in court proceedings. See “</w:t>
      </w:r>
      <w:r>
        <w:rPr>
          <w:color w:val="000000"/>
        </w:rPr>
        <w:t>—</w:t>
      </w:r>
      <w:r>
        <w:rPr>
          <w:rFonts w:ascii="Times New Roman;serif" w:hAnsi="Times New Roman;serif"/>
          <w:b w:val="false"/>
          <w:i/>
          <w:color w:val="000000"/>
          <w:sz w:val="20"/>
        </w:rPr>
        <w:t>We may become involved in lawsuits to protect or enforce our intellectual property, which could be expensive, time consuming and unsuccessful</w:t>
      </w:r>
      <w:r>
        <w:rPr>
          <w:rFonts w:ascii="Times New Roman;serif" w:hAnsi="Times New Roman;serif"/>
          <w:b w:val="false"/>
          <w:color w:val="000000"/>
          <w:sz w:val="20"/>
        </w:rPr>
        <w:t xml:space="preserve">.” Any successful challenge to our patents could result in the unenforceability or invalidity of such patents, which could harm our business.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If the breadth or strength of protection provided by our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patent applications is threatened, regardless of the outcome, it could dissuade companies from collaborating with us to license, develop or commercialize current or future products.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products for an adequate amount of time.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subject to applicable extensions. Once expired, we may be open to competition from competitive products. If one of our products requires extended development or testing, patents protecting such products might expire before or shortly after such products are commercialized. For example, while our patents and, if issued, our patent applications have terms that will expire through 2045, certain of our earlier U.S. patents are scheduled to expire in 2032. Although we own other patents with later expiration dates that cover various improvements and consumables for the Growth Direct platform, these other patents may not provide the same protection as the earliest-filed patents. As a result, our patent portfolio may not provide us with sufficient rights to exclude others from commercializing similar or identical products to ours, which would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United States government may exercise certain rights with regard to certain of our inventions developed using government funding.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United States federal government retains certain rights in inventions produced with its financial assistance under the Patent and Trademark Law Amendments Act. Certain of our inventions for which we have pursued, and in some cases obtained, patent protection were developed using federal funding from the U.S. Department of Health and Human Services Biomedical Advanced Research &amp; Development Authority. As a result, the U.S. government may have certain rights, including so-called march-in rights, to any patent rights that were funded in party by the U.S. government and any products or technology developed from such patent rights. When new technologies are developed with U.S. government funding, the U.S. government generally obtains certain rights in any resulting patents, including a nonexclusive license authorizing the U.S. government to use the invention for non-commercial purposes. These rights may permit the U.S. government to disclose our confidential information to third parties and to exercise march-in rights to use or to allow third parties to use our licensed technology. The U.S. government can exercise its march-in rights if it determines that action is necessary because we fail to achieve the practical application of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U.S. government of such rights could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trade secrets and confidentiality agreements to protect our unpatented know-how, technology and other proprietary information, including parts of our technology platform, and to maintain our competitive position and we expect our reliance to increase in the near term as the terms for certain of our earliest patents expire. Any disclosure, either intentional or unintentional, by our employees, consultants or vendors, or misappropriation by third parties (such as through a cybersecurity breach) of our trade secrets or proprietary information could enable competitors to duplicate or surpass our technological achievements, thus eroding our competitive position in our market. Such risk of disclosure can be increased by our use of AI technologies and can result in misappropriation and other security incidents and breached. From time to time, we may share trade secrets with customers, collaborators, suppliers, vendors and other third parties, which increases the possibility that a competitor will discover them or that our trade secrets will be misappropriated or disclosed.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and know-how can be difficult and expensive to protect. We take steps to protect our intellectual property and proprietary technology by maintaining physical and electronic security measures and by entering into agreements, including confidentiality, non-disclosure and intellectual property assignment agreements, with our employees, consultants, advisors, collaborators and customers.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if any of these parties breach the agreements and disclose our proprietary information, including our trade secrets, we may expend significant time and resources to assert our rights against such parties and we ultimately may not be able to obtain adequate remedies for such breaches. Such agreements may not be enforceable or may not provide meaningful protection in the event of unauthorized use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disclosure or other breaches of the agreements, and we may not be able to prevent such unauthorized disclosure, which could materially adversely impact our business and financial position.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expand our commercial operations in territories outside the United States, including in Europe and the Asia-Pacific region. The laws of some foreign countries do not protect intellectual property rights to the same extent as the laws of the United States, and we may encounter difficulties in protecting and defending such rights in foreign jurisdictions. Consequently, we may not be able to prevent third parties from practicing our inventions in some or all countries outside the United States, or from selling or importing products made using our inventions in and into the United States or other jurisdictions.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trademarks or trade names may be challenged, infringed, diluted, circumvented, declared generic or determined to be infringing on other marks. We may not be able to protect our rights in these trademarks or trade names or may be forced to stop using these names, which we need for name recognition by potential partners or customers in our markets of interest. We have not yet registered certain of our trademarks in all of our potential markets. During the trademark registration process, we may receive objections that we may be unable to overcome. In addition, third parties may be given an opportunity to oppose pending trademark applications and/or to seek the cancellation of registered trademarks. If we are unable to obtain a registered trademark or establish name recognition based on our trademarks and trade names, we may not be able to compete effectively and our business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and ownership of our patents and other intellectual property.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patents, trade secrets or other intellectual property as an inventor or by contract.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our development activities or as a result of questions regarding co-ownership of potential joint inventions. Litigation may be necessary to defend against these and other claims challenging inventorship of patents, trade secrets or other intellectual property.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important intellectual property. Even if we are successful in defending against such claims, litigation could result in substantial costs and be a distraction to management and other employees, and certain customers or partners may defer engaging with us until the particular dispute is resolved.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involved in litigation claiming that we have infringed on a third party’s intellectual property, which could be time consuming and costly and may adversely affect our business, financial condition, results of operations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involved with litigation or actions at the USPTO or foreign patent offices with various third parties that claim we or our collaborators or customers using our solutions and services have infringed, misappropriated or misused other parties’ intellectual property rights. We expect that the number of such claims may increase as the number of our products grows, we expand our market share and the level of competition in our markets increases. Furthermore, our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AI technologies can also increase this risk and expose us to additional claims of misappropriation. Moreover, as the automated MQC testing industry expands and more patents are issued, the risk increases that our products may be subject to claims of infringement of third-party patent and other proprietary rights. Any infringement claim, regardless of its validity, could harm our business by, among other things, resulting in time consuming and costly litigation, diverting management’s time and attention from the development of the business, requiring the payment of monetary damages, fees and expenses or royalty payments, or result in potential or existing customers delaying purchases of our products or entering into engagements with us pending resolution of the dispute.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prevail in any suit initiated against us by third parties, successfully settle or otherwise resolve patent infringement claims. Third parties making claims against us may be able to obtain injunctive or other relief, which could block our ability to develop, commercialize and sell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and incur significant costs, in product or service introductions while we attempt to develop alternative products or services, or redesign our products or services, to avoid infringing third party patents or proprietary rights. Defense of any lawsuit or failure to obtain any of these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 Some of our competitors may be able to sustain the costs of complex patent litigation more effectively than we can because they have substantially greater resources. Further, even if we were successful in defending against a lawsuit, such a defense would distract our management team from our operations, which could have an adverse effect on our business.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agreements with some of our customers, suppliers or other entities with whom we do business may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intellectual property, which could be expensive, time consuming and unsuccessful.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including our competitors, could be infringing, misappropriating or otherwise violating our intellectual property rights. Monitoring unauthorized use of our intellectual property is difficult and costly. From time to time, we seek to analyze our competitors’ products and services, and may in the future seek to enforce our rights against potential infringement, misappropriation or violation of our intellectual property. However, the steps we have taken to protect our proprietary rights may not be adequate to enforce our rights against such infringement, misappropriation or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Litigation may be necessary for us to enforce our patent and proprietary rights or to determine the scope, coverage and validity of the proprietary rights of others. If we do not prevail in such legal proceedings, we may be required to pay damages, we may lose significant intellectual property protection for our products or services, such that competitors could copy our products or services and we could be forced to cease commercialization of certain of our products or services. Even if resolved in our favor, any award of monetary damages or other remedy we receive may not be commercially valuable.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litigation that may be necessary in the future could result in substantial costs and diversion of resources and could have a material adverse effect on our business, financial condition, results of operations and prospects.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The outcome in any such lawsuits are unpredictable. Even if we do prevail in any future litigation related to intellectual property rights, the cost and time requirements of the litigation could negatively impact our financial results.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use of open-source software could compromise our ability to offer our services and subject us to possible litigation.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open-source software licensed to us by third-party authors under “open source” licenses in connection with our products and services.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some open-source software licenses require users who distribute software containing open-source software to publicly disclose all or part of the source code to the licensee’s software that incorporates, links or uses such open-source software, and make available to third parties for no cost, any derivative works of the open source code created by the licensee, which could include the licensee’s own valuable proprietary code. While we monitor our use of open-source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Additionally, we may from time to time face claims from third parties claiming ownership of, or seeking to enforce the terms of, an open source license, including by demanding release of source code for the open-source software, derivative works or our proprietary source code that was developed using, or that is distributed with, such open-source software. These claims could also result in litigation and could require us to make our proprietary software source code freely available, require us to devote additional research and development resources to change re-engineer our platform, seek costly licenses from third parties or otherwise incur additional costs and expenses, any of which could result in reputational harm and would have a negative effect on our business and 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has been and may continue to be volatile and fluctuate substantially, which could result in substantial losses for our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has been and may continue to be volatile. The stock market in general and the market for smaller technology companies in particular has experienced extreme volatility that has often been unrelated to the operating performance of particular companies. As a result of this volatility, our stockholders may not be able to sell their Class A common stock at or above the price they paid for them. The market price for our Class A common stock may be influenced by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fluctuations in our financial condition and operating results, including fluctuations in our quarterly and annual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introduction of new products or product enhancements by us or others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variances in product and system reliability;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overall conditions in our industry and the markets in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disputes or other developments with respect to our or others’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in our operating results or growth rate as a result of our competitors’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and market new and enhanced products and expand into new markets on a timely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the valuation of companies perceived by investors to be comparable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liability claims or other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 or expectation of additional financing effort;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of our common stock by us or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share price and volume fluctuations attributable to inconsistent trading volume levels of our shares;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media exposure of our products or of those of others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earnings estimates or recommendations by securities analysts;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market conditions and other factors, including factors unrelated to our operating performance or the operating performance of our competitors;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other factors described in this “Risk Factors” section and elsewhere in this Quarterly Report on Form 10-Q.</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our Class A common stock is delisted from The Nasdaq Stock Market LLC, the liquidity of our Class A common stock would be adversely affected and the market price of our common stock could decrease.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The Nasdaq Stock Market LLC (“Nasdaq”), on which our Class A common stock is currently listed has minimum requirements that a company must meet in order to remain listed, including that we maintain a minimum closing bid price of $1.00 per share</w:t>
      </w:r>
      <w:r>
        <w:rPr>
          <w:color w:val="000000"/>
        </w:rPr>
        <w:t xml:space="preserve"> </w:t>
      </w:r>
      <w:r>
        <w:rPr>
          <w:rFonts w:ascii="Times New Roman;serif" w:hAnsi="Times New Roman;serif"/>
          <w:b w:val="false"/>
          <w:color w:val="000000"/>
          <w:sz w:val="20"/>
        </w:rPr>
        <w:t>for our Class A common stock.</w:t>
      </w:r>
      <w:r>
        <w:rPr>
          <w:color w:val="000000"/>
        </w:rPr>
        <w:t xml:space="preserve"> </w:t>
      </w:r>
      <w:r>
        <w:rPr>
          <w:rFonts w:ascii="Times New Roman;serif" w:hAnsi="Times New Roman;serif"/>
          <w:b w:val="false"/>
          <w:color w:val="000000"/>
          <w:sz w:val="20"/>
        </w:rPr>
        <w:t xml:space="preserve">Under Nasdaq Listing Rule 5550(a)(2) (the “Bid Price Requirement”), if a company fails for 30 consecutive business days to meet the $1.00 minimum closing bid price requirement, Nasdaq will send a deficiency notice to the company, advising that it has been afforded a “compliance period” of 180 calendar days to regain compliance with the applicable requirements. We have previously received notifications from Nasdaq that we were not in compliance with its minimum bid price requirements.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though we have regained compliance with the Bid Price Requirement, there can be no assurance that we will in the future continue to comply with the Bid Price Requirement and other continued listing standards of Nasdaq in the future. If we fail to comply with one or more other Nasdaq Listing Rules, our Class A common stock may also become subject to delisting as a result of such deficiencies, then Nasdaq will issue a notice that we are not in compliance and we will need to take corrective actions in order to not be delisted. Such corrective actions could include a reverse stock split or a buyback of shares of our Class A common stock, which may adversely affect the liquidity of our Class A common stock or our cash balance, respectively.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delisting of our Class A common stock from Nasdaq could materially reduce the liquidity of our Class A common stock and result in a corresponding material reduction in the price of our Class A common stock. In addition, delisting could harm our ability to raise capital on terms acceptable to us, or at all, and may result in the potential loss of confidence by investors and employees and fewer business development opportunities. Further, any potential delisting of our Class A common stock from Nasdaq would also make it more difficult for our stockholders to sell their shares in the public market. Such a delisting would also constitute an event of default under our long-term debt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Class A common stock in the public market, or the perception in the market that the holders of a large number of shares intend to sell shares, could depress the market price of our Class A common stock.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Except for shares of our Class A common stock that are held by our directors, officers and affiliates, which are subject to certain restrictions on resale under the Securities Act of 1933, as amended (the “Securities Act”), and the rules and regulations promulgated thereunder, all other shares of our Class A common stock listed on Nasdaq are generally freely tradable. These include shares held by stockholders, including those that hold large positions in our securities, that are not our affiliates as such term is defined under Rule 144 of the Securities Act. Sales of a substantial number of shares of our common stock by such stockholders, particularly at a time when daily trading volumes in our stock are low, has had and may continue to have the effect of depressing the trading price of our common stock. Such downward pressure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trading price of our common stock may also be exerted by investors’ expectations or perceptions that such sales could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 active trading market for our Class A common stock may not be sustainable.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an active or liquid market for our Class A common stock may not be sustainable. In the absence of an active trading market for our Class A common stock, it may be difficult for stockholders to sell our shares without depressing the market price for the shares, or at all. Furthermore,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executive officers, directors and principal stockholders, if they choose to act together, have the ability to control all matters submitted to stockholders for approval.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 number of shares of Class A common stock outstanding as of June 30, 2026, our executive officers, directors and stockholders who owned more than 5% of our outstanding common stock and their respective affiliates hold, in the aggregate, a majority of our outstanding voting stock. The holders of shares of our Class B common stock have the ability to convert any portion of their Class B common stock into Class A common stock. Our Class B common stock cannot be converted if, immediately following such conversion, the holder would beneficially own more than 4.9% of the issued and outstanding Class A common stock. Due to this conversion right, holders of our Class B common stock could, at any time, increase their voting control of us. As a result of their combined voting power, if our executive officers, directors and stockholders who own more than 5% of our outstanding common stock choose to act together, they would be able to control all matters submitted to our stockholders for approval that require a majority vote, as well as our management and affairs. For example, these persons, if they choose to act together, would control the election of directors, the composition of our management and approval of any merger, consolidation or sale of all or substantially all of our assets.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dual class structure of our common stock and the option of the holders of shares of our Class B common stock to convert into shares of our Class A common stock may limit our Class A stockholders’ ability to influence corporate matters.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while our Class B common stock is non-voting. Nonetheless, each share of our Class B common stock may be converted at any time into one share of issued and outstanding Class A common stock at the option of its holder, subject to the limitations provided for in our restated certificate of incorporation that prohibit the conversion of our Class B common stock into shares of Class A common stock to the extent that, upon such conversion, such holder would beneficially own in excess of 4.9% of our Class A common stock.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 which may limit our current Class A stockholders’ ability to influence corporate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an “emerging growth company,” and a “smaller reporting company,” and the reduced disclosure requirements applicable to us may make our Class A common stock less attractive to investors.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and will remain an emerging growth company until December 31, 2026.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not being required to comply with the auditor attestation requirements in the assessment of our internal control over financial reporting;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disclosure obligations regarding executive compensation;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exemptions from the requirements of holding a nonbinding advisory vote on executive compensation and stockholder approval of any golden parachute payments not previously approved and from providing the pay ratio between our Chief Executive Officer and employees;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 exemption from compliance with the requirements of the Public Company Accounting Oversight Board regarding the communication of critical audit matters in the auditor’s report on the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and are therefore entitled to rely on certain reduced disclosure requirements for as long as we remain a smaller reporting company, such as presenting two years of audited financial statements in our annual Form 10-K or reduced disclosure requirements for executive compensation. This reduced disclosure in our SEC filings due to our status as a smaller reporting company may make it harder for investors to analyze our results of operations and financial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intend to utilize the extended transition period and, as a result, we will not be required to comply with new or revised accounting standards on the same timeline as other public companies.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controls. Section 404 of the Sarbanes-Oxley Act of 2002 requires that we evaluate and determine the effectiveness of our internal control over financial reporting and provide a management report on our internal controls on an annual basis. However, while we remain an emerging growth company, or following loss of that status, so long as we remain a smaller reporting company that is a non-accelerated filer, we are not required to include an attestation report on internal control over financial reporting issued by our independent registered accounting firm.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even if we conclude our internal control over financial reporting is effective for a given period, we may in the future identify one or more material weaknesses, in which case our management will be unable to conclude that our internal control over financial reporting is effective. Our independent registered public accounting firm will be required to issue an attestation report on the effectiveness of our internal control over financial reporting following the date we are no longer an emerging growth company and do not qualify as a non-accelerated filer. Even if our management concludes that our internal control over financial reporting is effective, our independent registered public accounting firm may in the future conclude that there are material weaknesses with respect to our internal controls or the level at which our internal controls are documented, designed, implemented or reviewed.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periodic reporting requirements of the Securities Exchange Act of 1934, as amended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could have a material adverse effect on investors’ confidence in our reporting and the price of our Class A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Provisions in our restated certificate of incorporation and our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alter our bylaws without obtaining stockholder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required approval of the holders of at least two-thirds of the shares entitled to vote thereon to (i) effect a reorganization, recapitalization, share exchange, share classification, consolidation, conversion or merger, (ii) sell, lease, exchange, transfer or otherwise dispose of all or substantially all of our assets, or (iii) dissolve our company or revoke a dissolution of our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40"/>
        <w:jc w:val="left"/>
        <w:rPr>
          <w:rFonts w:ascii="Times New Roman;serif" w:hAnsi="Times New Roman;serif"/>
          <w:b/>
          <w:i/>
          <w:color w:val="000000"/>
          <w:sz w:val="20"/>
        </w:rPr>
      </w:pPr>
      <w:r>
        <w:rPr>
          <w:rFonts w:ascii="Times New Roman;serif" w:hAnsi="Times New Roman;serif"/>
          <w:b/>
          <w:i/>
          <w:color w:val="000000"/>
          <w:sz w:val="20"/>
        </w:rPr>
        <w:t>We have been, and may again in the future be, subject to the actions of activist stockholders or unsolicited acquisition proposals, which could cause us to incur substantial costs, divert management’s and the board’s attention and resources, and have an adverse effect on our business and stock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proposals by stockholders urging us to take certain corporate actions, such as changing the composition of our board of directors, our management team, selling our company or similar strategic initiatives. If activist stockholder initiatives ensue, our business could be adversely affected, as responding to such actions can be costly and time-consuming, disrupt our operations and divert the attention of management and our board of directors. For example, in connection with the unsolicited proposal from a stockholder to acquire all of our outstanding common stock in June 2022, we retained the services of various advisors, including legal, financial, and communications professionals, to advise us in considering the stockholder’s proposal and during our review of strategic alternatives, the costs of which negatively impacted our financial results, and we may be required to retain such services in the future, which could have a further negative impact on our financial results. In addition, perceived uncertainties as to our future direction, strategy or leadership created as a consequence of activist stockholder initiatives may result in the loss of potential business opportunities, harm our ability to attract new investors, customers, and employees, and cause our stock price to experience periods of volatility or stagnation.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restated certificate of incorporation described above;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result in additional litigation costs in pursuing any such claims.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The choice of forum provision contained in our restated certificate of incorporation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(“NOLs”) and research and development tax credits to offset future taxable income or income tax liabilities is subject to certain limitations.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U.S. federal and state NOLs, carryforwards of $320.9 million and $133.0 million, respectively. These NOLs begin to expire in 2038 and 2032, respectively, and may be available to offset future taxable income, if any. Additionally, we had federal NOLs of $308.1 million generated since 2018, which do not expire. The Tax Cuts and Jobs Act enacted on December 22, 2017 limits a taxpayer’s ability to utilize NOL deduction in a year to 80% taxable income for federal NOL arising in tax years beginning after 2017. In addition, we had federal and state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tax credits of $3.2 million and $3.5 million which may be available to offset future tax liabilities. The federal credits begin to expire in 2039 and the state credits began to expire in 2025.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general, under Sections 382 and 383 of the Internal Revenue Code of 1986, as amended, a corporation that undergoes an “ownership change,” generally defined as a greater than 50 percentage point change by value in its equity ownership by one or more stockholders or groups of stockholders owning at least 5% of the corporation’s stock over a rolling three-year period, is subject to limitations on its ability to utilize its pre-ownership change NOLs and tax credits to offset future taxable income or income tax liabilities for U.S. federal income tax purposes. Similar rules may apply under state tax laws. Our company has completed a Section 382 study through July 31, 2020 to assess the limitations on use of NOLs and research and development credits due to changes in control. The study determined that ownership changes materially limited the NOL carryforwards and research and development tax credits available to offset future tax liabilities and the limitations have been reflected in the amounts of NOL carryforwards, research and development tax credits, and deferred tax assets disclosed above. We have not completed a Section 382 study for post July 31, 2020 transactions which could create an additional limitation although materially all of the current federal NOL carryforwards can be carried forward indefinitely. We have in the past experienced, and we may in the future experience ownership changes, some of which are outside our control. For these reasons, we are not able to utilize a material portion of the NOLs and tax credits even if we attain profitability. For additional information on our use of NOLs, see the section entitled “</w:t>
      </w:r>
      <w:r>
        <w:rPr>
          <w:rFonts w:ascii="Times New Roman;serif" w:hAnsi="Times New Roman;serif"/>
          <w:b w:val="false"/>
          <w:i/>
          <w:color w:val="000000"/>
          <w:sz w:val="20"/>
        </w:rPr>
        <w:t>Management’s Discussion and Analysis of Financial Condition and Results of Operations—Components of results of operations—Income tax expense</w:t>
      </w:r>
      <w:r>
        <w:rPr>
          <w:color w:val="000000"/>
        </w:rPr>
        <w:t xml:space="preserve">” </w:t>
      </w:r>
      <w:r>
        <w:rPr>
          <w:rFonts w:ascii="Times New Roman;serif" w:hAnsi="Times New Roman;serif"/>
          <w:b w:val="false"/>
          <w:color w:val="000000"/>
          <w:sz w:val="20"/>
        </w:rPr>
        <w:t>and Note 12—</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 our condensed consolidated financial statements included elsewhere in this Quarterly Report on Form 10-Q.</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failure or perceived failure to achieve or maintain corporate sustainability practices that meet evolving stakeholder expectations could adversely affect 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corporate sustainability commitments is subject to numerous factors both within and outside of our control. Our failure or perceived failure to achieve our corporate sustainability commitments or maintain corporate sustainability practices that meet stakeholder expectations or regulatory requirements could harm our reputation, adversely impact our ability to attract and retain employees or customers and expose us to increased scrutiny from the investment community, regulatory authorities and others or subject us to liability. Our reputation also may be harmed by the perceptions that our customers, employees and other stakeholders have about our action or inaction on corporate sustainability issues. In addition, the increasing prevalence of corporate sustainability laws and regulations across the jurisdictions in which we operate may increase compliance risks and costs and, together with differing views on the appropriate role of sustainability practices and disclosures, may subject us to greater stakeholder scrutiny. Any potential damage to our reputation or loss of brand equity may reduce demand for our products and services.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common stock in the foreseeable future, capital appreciation, if any, would be stockholders’ sole source of gain.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will be the sole source of gain on an investment in our common stock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if they issue an adverse or misleading opinion regarding our stock, our stock price and trading volume could decline, even if our business is doing well.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be influenced by the research and reports that industry or securities analysts publish about us or our business. If the analysts who cover us issue an adverse or misleading opinion regarding us, our business model, or our stock performance, or if our product development or marketing and sales results fail to meet the expectations of analysts, our stock price could decline. If one or more of these analysts ceases coverage of us or fails to publish reports on us regularly, we could lose visibility in the financial markets, which in turn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Class A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a company following a decline in the market price of its securities. This risk is especially relevant for us because early-stage technology companies have experienced significant stock price volatility in recent years. If we face such litigation, it could result in substantial costs, a diversion of management’s attention and resources, and negative publicity, all of which could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Conditions in the banking system and financial markets, including the failure of banks and financial institutions, could have an adverse effect on our operations and financial results.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and March 12, 2023, the Federal Deposit Insurance Corporation took control and was appointed receiver of Silicon Valley Bank, Signature Bank and Silvergate Capital Corp, respectively, after each bank was unable to continue their operations. Since then, additional financial institutions have experienced similar failures and have been placed into receivership. It is possible that other banks will face similar difficulty in the future.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do not maintain any deposit accounts, credit agreements or letters of credit with any financial institution currently in receivership,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Sales of Unregistered Securities; Purchases of Equity Securities by the Issuer or Affiliated Purchaser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14, 2021, the Registration Statement on Form S-1 (File No. 333-257431) relating to our initial public offering (“IPO”) was declared effective by the SEC. There has been no material change in the expected use of the net proceeds from our IPO as described in our final prospectus.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Issuer Repurchases of Equity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196" w:before="0" w:after="0"/>
        <w:jc w:val="both"/>
        <w:rPr>
          <w:rFonts w:ascii="Times New Roman;serif" w:hAnsi="Times New Roman;serif"/>
          <w:b w:val="false"/>
          <w:color w:val="000000"/>
          <w:sz w:val="20"/>
        </w:rPr>
      </w:pPr>
      <w:r>
        <w:rPr>
          <w:rFonts w:ascii="Times New Roman;serif" w:hAnsi="Times New Roman;serif"/>
          <w:b w:val="false"/>
          <w:color w:val="000000"/>
          <w:sz w:val="20"/>
        </w:rPr>
        <w: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19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(c) </w:t>
      </w:r>
      <w:r>
        <w:rPr>
          <w:rFonts w:ascii="Times New Roman;serif" w:hAnsi="Times New Roman;serif"/>
          <w:b/>
          <w:i/>
          <w:color w:val="000000"/>
          <w:sz w:val="20"/>
        </w:rPr>
        <w:t>Director and Officer Trading Plans and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15, 2026, Robert Spignesi, President, Chief Executive Officer and Director, terminated a 10b5-1 trading plan that he entered into on March 17, 2026 (the “Prior Spignesi 10b5-1 Trading Plan”) intended to satisfy the affirmative defense of Rule 10b5-1(c) of the Exchange Act and provided for the potential exercise of expiring vested stock options and the associated sale of up to 398,230 shares of our Class A common stock.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16, 2026, Robert Spignesi, President, Chief Executive Officer and Director, adopted a new 10b5-1 trading plan (the “Spignesi 10b5-1 Trading Plan”) intended to satisfy the affirmative defense of Rule 10b5-1(c) of the Exchange Act and providing for the potential exercise of expiring vested stock options and the associated sale of up to 396,828 shares of our Class A common stock. The Spignesi 10b5-1 Trading Plan will remain in effect until the earlier of (1) December 31, 2026, (2) the date on which all trades set forth in the Spignesi 10b5-1 Trading Plan have been executed, or (3) such time as the Spignesi 10b5-1 Trading Plan is otherwise terminated according to its terms.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our other directors or officers adopted, modified or terminated a Rule 10b5-1 trading arrangement, or adopted, modified or terminated a non-Rule 10b5-1 trading arrangement (as defined in Item 408(c) of Regulation S-K) during the quarter ended June 30, 2026.</w:t>
      </w:r>
    </w:p>
    <w:p>
      <w:pPr>
        <w:pStyle w:val="TextBody"/>
        <w:bidi w:val="0"/>
        <w:spacing w:before="240" w:after="283"/>
        <w:ind w:left="0" w:right="0" w:firstLine="72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18"/>
        <w:gridCol w:w="278"/>
        <w:gridCol w:w="279"/>
        <w:gridCol w:w="109"/>
        <w:gridCol w:w="109"/>
        <w:gridCol w:w="109"/>
        <w:gridCol w:w="2756"/>
        <w:gridCol w:w="2577"/>
        <w:gridCol w:w="3670"/>
      </w:tblGrid>
      <w:tr>
        <w:trPr/>
        <w:tc>
          <w:tcPr>
            <w:tcW w:w="3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Restated Certificate of Incorporation, as amended on May 23, 2024 (incorporated by reference to Exhibit 3.1 to the Registrant's Annual Report on Form 10-K (File No. 001-40592) filed on February 28, 2025)</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(incorporated by reference to Exhibit 3.2 to the Registrant's Current Report on Form 8-K (File No. 001-40952) filed on July 21, 2021)</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Pre-Funded Warrant (incorporated by reference to Exhibit 4.1 to the Registrant's Form 8-K (File No. 001-40952) filed on May 18, 2026)</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Series A Common Stock Warrant (incorporated by reference to Exhibit 4.2 to the Registrant's Form 8-K (File No. 001-40952) filed on May 18, 2026)</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Series B Common Stock Warrant (incorporated by reference to Exhibit 4.3 to the Registrant's Form 8-K (File No. 001-40952) filed on May 18, 2026)</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Securities Purchase Agreement, dated as of May 18, 2026, between the Registrant and certain of the Registrant's directors and officer(incorporated by reference to Exhibit 10.1 to the Registrant's Form 8-K (File No.001-40952) filed on May 18, 2026)</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x311.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x312.htm">
              <w:r>
                <w:rPr>
                  <w:rStyle w:val="InternetLink"/>
                  <w:rFonts w:ascii="Times New Roman;serif" w:hAnsi="Times New Roman;serif"/>
                  <w:b w:val="false"/>
                  <w:color w:val="0000FF"/>
                  <w:sz w:val="20"/>
                  <w:u w:val="single"/>
                </w:rPr>
                <w:t>Certification of Principal Financial Officer pursuant to Rule 13a-14(a) or Rule 15d-14(a) of the Securities Exchange Act of 1934, as adopted pursuant to Section 302 of the Sarbanes-Oxley Act of 2002</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1">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a7cb1432814509a82c3a5d3f00c65d_1">
              <w:r>
                <w:rPr>
                  <w:rStyle w:val="InternetLink"/>
                  <w:rFonts w:ascii="Times New Roman;serif" w:hAnsi="Times New Roman;serif"/>
                  <w:b w:val="false"/>
                  <w:color w:val="0000FF"/>
                  <w:sz w:val="20"/>
                  <w:u w:val="single"/>
                </w:rPr>
                <w:t>Cover Page Interactive Data File (formatted as Inline XBRL and contained in Exhibit 101)</w:t>
              </w:r>
            </w:hyperlink>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9"/>
        <w:gridCol w:w="2889"/>
        <w:gridCol w:w="3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Portions of this exhibit (indicated by asterisks) have been redacted in compliance with Regulation S-K Item 601(b)(10)(iv). Certain of the exhibits and schedules to this exhibit have been omitted in accordance with Item 601(a)(5) of Regulation S-K. The registrant agrees to furnish a copy of all omitted exhibits and schedules to the SEC upon its request.</w:t>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ca7cb1432814509a82c3a5d3f00c6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duly authorized.</w:t>
      </w:r>
    </w:p>
    <w:tbl>
      <w:tblPr>
        <w:tblW w:w="7009" w:type="dxa"/>
        <w:jc w:val="left"/>
        <w:tblInd w:w="0" w:type="dxa"/>
        <w:tblLayout w:type="fixed"/>
        <w:tblCellMar>
          <w:top w:w="28" w:type="dxa"/>
          <w:left w:w="28" w:type="dxa"/>
          <w:bottom w:w="28" w:type="dxa"/>
          <w:right w:w="28" w:type="dxa"/>
        </w:tblCellMar>
      </w:tblPr>
      <w:tblGrid>
        <w:gridCol w:w="667"/>
        <w:gridCol w:w="587"/>
        <w:gridCol w:w="590"/>
        <w:gridCol w:w="507"/>
        <w:gridCol w:w="507"/>
        <w:gridCol w:w="507"/>
        <w:gridCol w:w="1067"/>
        <w:gridCol w:w="1067"/>
        <w:gridCol w:w="15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RAPID MICRO BIOSYSTEMS,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Spignesi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Robert Spignesi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President, Chief Executive Officer and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Operating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 and Principal</w:t>
              <w:br/>
              <w:t>Operating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RULES 13a-14(a) OR 15d-14(a) UNDER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Spignesi,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Rapid Micro Biosystems,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02"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709"/>
        <w:gridCol w:w="709"/>
        <w:gridCol w:w="101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Spignesi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Robert Spignesi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29"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5"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OR 15d-14(a) UNDER THE SECURITIES EXCHANGE ACT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1934, 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Wirtjes,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Rapid Micro Biosystems,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617"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1503"/>
        <w:gridCol w:w="1503"/>
        <w:gridCol w:w="213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44"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5"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Rapid Micro Biosystems, Inc. (the “Company”) on Form 10-Q for the period ended June 30, 2026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Section 15(d) of the Securities Exchange Act of 1934;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4902"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709"/>
        <w:gridCol w:w="709"/>
        <w:gridCol w:w="101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Spignesi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Spignesi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Rapid Micro Biosystems, Inc. (the “Company”) on Form 10-Q for the period ended June 30, 2026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Section 15(d) of the Securities Exchange Act of 1934;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7617"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1503"/>
        <w:gridCol w:w="1503"/>
        <w:gridCol w:w="213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80106/000138010625000058/ex31_restatedcertificateof.htm" TargetMode="External"/><Relationship Id="rId4" Type="http://schemas.openxmlformats.org/officeDocument/2006/relationships/hyperlink" Target="https://www.sec.gov/Archives/edgar/data/1380106/000138010625000058/ex31_restatedcertificateof.htm" TargetMode="External"/><Relationship Id="rId5" Type="http://schemas.openxmlformats.org/officeDocument/2006/relationships/hyperlink" Target="https://www.sec.gov/Archives/edgar/data/1380106/000110465921094046/tm219739d19_ex3-2.htm" TargetMode="External"/><Relationship Id="rId6" Type="http://schemas.openxmlformats.org/officeDocument/2006/relationships/hyperlink" Target="https://www.sec.gov/Archives/edgar/data/1380106/000110465921094046/tm219739d19_ex3-2.htm" TargetMode="External"/><Relationship Id="rId7" Type="http://schemas.openxmlformats.org/officeDocument/2006/relationships/hyperlink" Target="https://www.sec.gov/Archives/edgar/data/1380106/000110465926063936/tm2614922d1_ex4-1.htm" TargetMode="External"/><Relationship Id="rId8" Type="http://schemas.openxmlformats.org/officeDocument/2006/relationships/hyperlink" Target="https://www.sec.gov/Archives/edgar/data/1380106/000110465926063936/tm2614922d1_ex4-1.htm" TargetMode="External"/><Relationship Id="rId9" Type="http://schemas.openxmlformats.org/officeDocument/2006/relationships/hyperlink" Target="https://www.sec.gov/Archives/edgar/data/1380106/000110465926063936/tm2614922d1_ex4-2.htm" TargetMode="External"/><Relationship Id="rId10" Type="http://schemas.openxmlformats.org/officeDocument/2006/relationships/hyperlink" Target="https://www.sec.gov/Archives/edgar/data/1380106/000110465926063936/tm2614922d1_ex4-2.htm" TargetMode="External"/><Relationship Id="rId11" Type="http://schemas.openxmlformats.org/officeDocument/2006/relationships/hyperlink" Target="https://www.sec.gov/Archives/edgar/data/1380106/000110465926063936/tm2614922d1_ex4-3.htm" TargetMode="External"/><Relationship Id="rId12" Type="http://schemas.openxmlformats.org/officeDocument/2006/relationships/hyperlink" Target="https://www.sec.gov/Archives/edgar/data/1380106/000110465926063936/tm2614922d1_ex4-3.htm" TargetMode="External"/><Relationship Id="rId13" Type="http://schemas.openxmlformats.org/officeDocument/2006/relationships/hyperlink" Target="https://www.sec.gov/Archives/edgar/data/1380106/000110465926063936/tm2614922d1_ex10-1.htm" TargetMode="External"/><Relationship Id="rId14" Type="http://schemas.openxmlformats.org/officeDocument/2006/relationships/hyperlink" Target="https://www.sec.gov/Archives/edgar/data/1380106/000110465926063936/tm2614922d1_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54582</Words>
  <Characters>299947</Characters>
  <CharactersWithSpaces>352133</CharactersWithSpaces>
  <Paragraphs>3657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