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540385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565785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1" w:lineRule="exact"/>
        <w:rPr>
          <w:sz w:val="24"/>
          <w:szCs w:val="24"/>
          <w:color w:val="auto"/>
        </w:rPr>
      </w:pPr>
    </w:p>
    <w:p>
      <w:pPr>
        <w:ind w:left="480" w:hanging="319"/>
        <w:spacing w:after="0"/>
        <w:tabs>
          <w:tab w:leader="none" w:pos="480"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3" w:lineRule="exact"/>
        <w:rPr>
          <w:sz w:val="24"/>
          <w:szCs w:val="24"/>
          <w:color w:val="auto"/>
        </w:rPr>
      </w:pPr>
    </w:p>
    <w:p>
      <w:pPr>
        <w:ind w:left="480" w:hanging="307"/>
        <w:spacing w:after="0"/>
        <w:tabs>
          <w:tab w:leader="none" w:pos="48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7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________________ to ________________</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001-40592</w:t>
      </w:r>
    </w:p>
    <w:p>
      <w:pPr>
        <w:spacing w:after="0" w:line="2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6"/>
          <w:szCs w:val="16"/>
          <w:color w:val="auto"/>
        </w:rPr>
        <w:t>________________________________________</w:t>
      </w:r>
    </w:p>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Rapid Micro Biosystems,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5715</wp:posOffset>
            </wp:positionV>
            <wp:extent cx="1508760"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35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________________________________________</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3940" w:type="dxa"/>
            <w:vAlign w:val="bottom"/>
          </w:tcPr>
          <w:p>
            <w:pPr>
              <w:jc w:val="center"/>
              <w:ind w:left="1607"/>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jc w:val="center"/>
              <w:ind w:right="1747"/>
              <w:spacing w:after="0"/>
              <w:rPr>
                <w:sz w:val="20"/>
                <w:szCs w:val="20"/>
                <w:color w:val="auto"/>
              </w:rPr>
            </w:pPr>
            <w:r>
              <w:rPr>
                <w:rFonts w:ascii="Times New Roman" w:cs="Times New Roman" w:eastAsia="Times New Roman" w:hAnsi="Times New Roman"/>
                <w:sz w:val="16"/>
                <w:szCs w:val="16"/>
                <w:b w:val="1"/>
                <w:bCs w:val="1"/>
                <w:color w:val="auto"/>
              </w:rPr>
              <w:t>20-8121647</w:t>
            </w:r>
          </w:p>
        </w:tc>
        <w:tc>
          <w:tcPr>
            <w:tcW w:w="0" w:type="dxa"/>
            <w:vAlign w:val="bottom"/>
          </w:tcPr>
          <w:p>
            <w:pPr>
              <w:spacing w:after="0"/>
              <w:rPr>
                <w:sz w:val="1"/>
                <w:szCs w:val="1"/>
                <w:color w:val="auto"/>
              </w:rPr>
            </w:pPr>
          </w:p>
        </w:tc>
      </w:tr>
      <w:tr>
        <w:trPr>
          <w:trHeight w:val="135"/>
        </w:trPr>
        <w:tc>
          <w:tcPr>
            <w:tcW w:w="3940" w:type="dxa"/>
            <w:vAlign w:val="bottom"/>
          </w:tcPr>
          <w:p>
            <w:pPr>
              <w:jc w:val="center"/>
              <w:ind w:left="160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760" w:type="dxa"/>
            <w:vAlign w:val="bottom"/>
          </w:tcPr>
          <w:p>
            <w:pPr>
              <w:jc w:val="center"/>
              <w:ind w:right="174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940" w:type="dxa"/>
            <w:vAlign w:val="bottom"/>
          </w:tcPr>
          <w:p>
            <w:pPr>
              <w:jc w:val="center"/>
              <w:ind w:left="162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60" w:type="dxa"/>
            <w:vAlign w:val="bottom"/>
          </w:tcPr>
          <w:p>
            <w:pPr>
              <w:jc w:val="center"/>
              <w:ind w:right="1747"/>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c>
          <w:tcPr>
            <w:tcW w:w="0" w:type="dxa"/>
            <w:vAlign w:val="bottom"/>
          </w:tcPr>
          <w:p>
            <w:pPr>
              <w:spacing w:after="0"/>
              <w:rPr>
                <w:sz w:val="1"/>
                <w:szCs w:val="1"/>
                <w:color w:val="auto"/>
              </w:rPr>
            </w:pPr>
          </w:p>
        </w:tc>
      </w:tr>
      <w:tr>
        <w:trPr>
          <w:trHeight w:val="263"/>
        </w:trPr>
        <w:tc>
          <w:tcPr>
            <w:tcW w:w="3940" w:type="dxa"/>
            <w:vAlign w:val="bottom"/>
          </w:tcPr>
          <w:p>
            <w:pPr>
              <w:jc w:val="center"/>
              <w:ind w:left="1627"/>
              <w:spacing w:after="0"/>
              <w:rPr>
                <w:sz w:val="20"/>
                <w:szCs w:val="20"/>
                <w:color w:val="auto"/>
              </w:rPr>
            </w:pPr>
            <w:r>
              <w:rPr>
                <w:rFonts w:ascii="Times New Roman" w:cs="Times New Roman" w:eastAsia="Times New Roman" w:hAnsi="Times New Roman"/>
                <w:sz w:val="14"/>
                <w:szCs w:val="14"/>
                <w:b w:val="1"/>
                <w:bCs w:val="1"/>
                <w:color w:val="auto"/>
              </w:rPr>
              <w:t>25 Hartwell Avenue</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60" w:type="dxa"/>
            <w:vAlign w:val="bottom"/>
            <w:vMerge w:val="restart"/>
          </w:tcPr>
          <w:p>
            <w:pPr>
              <w:jc w:val="center"/>
              <w:ind w:right="1707"/>
              <w:spacing w:after="0"/>
              <w:rPr>
                <w:sz w:val="20"/>
                <w:szCs w:val="20"/>
                <w:color w:val="auto"/>
              </w:rPr>
            </w:pPr>
            <w:r>
              <w:rPr>
                <w:rFonts w:ascii="Times New Roman" w:cs="Times New Roman" w:eastAsia="Times New Roman" w:hAnsi="Times New Roman"/>
                <w:sz w:val="14"/>
                <w:szCs w:val="14"/>
                <w:b w:val="1"/>
                <w:bCs w:val="1"/>
                <w:color w:val="auto"/>
                <w:w w:val="97"/>
              </w:rPr>
              <w:t>02421</w:t>
            </w:r>
          </w:p>
        </w:tc>
        <w:tc>
          <w:tcPr>
            <w:tcW w:w="0" w:type="dxa"/>
            <w:vAlign w:val="bottom"/>
          </w:tcPr>
          <w:p>
            <w:pPr>
              <w:spacing w:after="0"/>
              <w:rPr>
                <w:sz w:val="1"/>
                <w:szCs w:val="1"/>
                <w:color w:val="auto"/>
              </w:rPr>
            </w:pPr>
          </w:p>
        </w:tc>
      </w:tr>
      <w:tr>
        <w:trPr>
          <w:trHeight w:val="108"/>
        </w:trPr>
        <w:tc>
          <w:tcPr>
            <w:tcW w:w="3940" w:type="dxa"/>
            <w:vAlign w:val="bottom"/>
            <w:vMerge w:val="restart"/>
          </w:tcPr>
          <w:p>
            <w:pPr>
              <w:jc w:val="center"/>
              <w:ind w:left="1647"/>
              <w:spacing w:after="0"/>
              <w:rPr>
                <w:sz w:val="20"/>
                <w:szCs w:val="20"/>
                <w:color w:val="auto"/>
              </w:rPr>
            </w:pPr>
            <w:r>
              <w:rPr>
                <w:rFonts w:ascii="Times New Roman" w:cs="Times New Roman" w:eastAsia="Times New Roman" w:hAnsi="Times New Roman"/>
                <w:sz w:val="14"/>
                <w:szCs w:val="14"/>
                <w:b w:val="1"/>
                <w:bCs w:val="1"/>
                <w:color w:val="auto"/>
              </w:rPr>
              <w:t>Lexington, MA</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9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vMerge w:val="restart"/>
          </w:tcPr>
          <w:p>
            <w:pPr>
              <w:jc w:val="center"/>
              <w:ind w:right="1747"/>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23"/>
        </w:trPr>
        <w:tc>
          <w:tcPr>
            <w:tcW w:w="7460" w:type="dxa"/>
            <w:vAlign w:val="bottom"/>
            <w:gridSpan w:val="6"/>
            <w:vMerge w:val="restart"/>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7460" w:type="dxa"/>
            <w:vAlign w:val="bottom"/>
            <w:gridSpan w:val="6"/>
            <w:vMerge w:val="continue"/>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3940" w:type="dxa"/>
            <w:vAlign w:val="bottom"/>
          </w:tcPr>
          <w:p>
            <w:pPr>
              <w:spacing w:after="0"/>
              <w:rPr>
                <w:sz w:val="23"/>
                <w:szCs w:val="23"/>
                <w:color w:val="auto"/>
              </w:rPr>
            </w:pPr>
          </w:p>
        </w:tc>
        <w:tc>
          <w:tcPr>
            <w:tcW w:w="2800" w:type="dxa"/>
            <w:vAlign w:val="bottom"/>
            <w:gridSpan w:val="3"/>
          </w:tcPr>
          <w:p>
            <w:pPr>
              <w:jc w:val="center"/>
              <w:ind w:left="503"/>
              <w:spacing w:after="0"/>
              <w:rPr>
                <w:sz w:val="20"/>
                <w:szCs w:val="20"/>
                <w:color w:val="auto"/>
              </w:rPr>
            </w:pPr>
            <w:r>
              <w:rPr>
                <w:rFonts w:ascii="Times New Roman" w:cs="Times New Roman" w:eastAsia="Times New Roman" w:hAnsi="Times New Roman"/>
                <w:sz w:val="14"/>
                <w:szCs w:val="14"/>
                <w:b w:val="1"/>
                <w:bCs w:val="1"/>
                <w:color w:val="auto"/>
              </w:rPr>
              <w:t>(978) 349-3200</w:t>
            </w: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35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5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________________________________________</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3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1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35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rPr>
              <w:t>________________________________________</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940" w:type="dxa"/>
            <w:vAlign w:val="bottom"/>
          </w:tcPr>
          <w:p>
            <w:pPr>
              <w:jc w:val="center"/>
              <w:ind w:left="367"/>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gridSpan w:val="3"/>
          </w:tcPr>
          <w:p>
            <w:pPr>
              <w:jc w:val="center"/>
              <w:ind w:right="7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760" w:type="dxa"/>
            <w:vAlign w:val="bottom"/>
          </w:tcPr>
          <w:p>
            <w:pPr>
              <w:jc w:val="center"/>
              <w:ind w:right="567"/>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tcPr>
          <w:p>
            <w:pPr>
              <w:jc w:val="center"/>
              <w:ind w:left="387"/>
              <w:spacing w:after="0"/>
              <w:rPr>
                <w:sz w:val="20"/>
                <w:szCs w:val="20"/>
                <w:color w:val="auto"/>
              </w:rPr>
            </w:pPr>
            <w:r>
              <w:rPr>
                <w:rFonts w:ascii="Times New Roman" w:cs="Times New Roman" w:eastAsia="Times New Roman" w:hAnsi="Times New Roman"/>
                <w:sz w:val="16"/>
                <w:szCs w:val="16"/>
                <w:b w:val="1"/>
                <w:bCs w:val="1"/>
                <w:color w:val="auto"/>
              </w:rPr>
              <w:t>Class A common stock, $0.01 par value per share</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RPID</w:t>
            </w: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jc w:val="center"/>
              <w:ind w:right="567"/>
              <w:spacing w:after="0"/>
              <w:rPr>
                <w:sz w:val="20"/>
                <w:szCs w:val="20"/>
                <w:color w:val="auto"/>
              </w:rPr>
            </w:pPr>
            <w:r>
              <w:rPr>
                <w:rFonts w:ascii="Times New Roman" w:cs="Times New Roman" w:eastAsia="Times New Roman" w:hAnsi="Times New Roman"/>
                <w:sz w:val="16"/>
                <w:szCs w:val="16"/>
                <w:b w:val="1"/>
                <w:bCs w:val="1"/>
                <w:color w:val="auto"/>
              </w:rPr>
              <w:t>The Nasdaq Capital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200"/>
        <w:spacing w:after="0" w:line="30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80"/>
        <w:spacing w:after="0" w:line="31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4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sectPr>
      </w:pPr>
    </w:p>
    <w:p>
      <w:pPr>
        <w:spacing w:after="0" w:line="90" w:lineRule="exact"/>
        <w:rPr>
          <w:sz w:val="24"/>
          <w:szCs w:val="24"/>
          <w:color w:val="auto"/>
        </w:rPr>
      </w:pPr>
    </w:p>
    <w:p>
      <w:pPr>
        <w:ind w:left="20" w:right="400"/>
        <w:spacing w:after="0" w:line="316"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38"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38"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159" w:lineRule="exact"/>
        <w:rPr>
          <w:sz w:val="24"/>
          <w:szCs w:val="24"/>
          <w:color w:val="auto"/>
        </w:rPr>
      </w:pPr>
    </w:p>
    <w:p>
      <w:pPr>
        <w:sectPr>
          <w:pgSz w:w="11900" w:h="16838" w:orient="portrait"/>
          <w:cols w:equalWidth="0" w:num="6">
            <w:col w:w="1880" w:space="720"/>
            <w:col w:w="440" w:space="720"/>
            <w:col w:w="1880" w:space="720"/>
            <w:col w:w="420" w:space="720"/>
            <w:col w:w="1900" w:space="720"/>
            <w:col w:w="1100"/>
          </w:cols>
          <w:pgMar w:left="320" w:top="229" w:right="359" w:bottom="1440" w:gutter="0" w:footer="0" w:header="0"/>
          <w:type w:val="continuous"/>
        </w:sectPr>
      </w:pPr>
    </w:p>
    <w:p>
      <w:pPr>
        <w:ind w:right="540"/>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11, 2026, there were 41,669,673 shares of the registrant’s Class A common stock, par value $0.01, outstanding.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11, 2026, there were 4,499,529 shares of the registrant’s Class B common stock, par value $0.01,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161290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187325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60" w:type="dxa"/>
            <w:vAlign w:val="bottom"/>
            <w:gridSpan w:val="6"/>
            <w:vMerge w:val="continue"/>
          </w:tcPr>
          <w:p>
            <w:pPr>
              <w:spacing w:after="0"/>
              <w:rPr>
                <w:sz w:val="22"/>
                <w:szCs w:val="22"/>
                <w:color w:val="auto"/>
              </w:rPr>
            </w:pPr>
          </w:p>
        </w:tc>
        <w:tc>
          <w:tcPr>
            <w:tcW w:w="8960" w:type="dxa"/>
            <w:vAlign w:val="bottom"/>
            <w:gridSpan w:val="17"/>
            <w:vMerge w:val="continue"/>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82"/>
              </w:rPr>
              <w:t>Item 1.</w:t>
            </w:r>
          </w:p>
        </w:tc>
        <w:tc>
          <w:tcPr>
            <w:tcW w:w="900" w:type="dxa"/>
            <w:vAlign w:val="bottom"/>
            <w:gridSpan w:val="5"/>
          </w:tcPr>
          <w:p>
            <w:pPr>
              <w:spacing w:after="0"/>
              <w:rPr>
                <w:sz w:val="24"/>
                <w:szCs w:val="24"/>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Financial Statements</w:t>
            </w:r>
          </w:p>
        </w:tc>
        <w:tc>
          <w:tcPr>
            <w:tcW w:w="7460" w:type="dxa"/>
            <w:vAlign w:val="bottom"/>
            <w:gridSpan w:val="12"/>
          </w:tcPr>
          <w:p>
            <w:pPr>
              <w:spacing w:after="0"/>
              <w:rPr>
                <w:sz w:val="24"/>
                <w:szCs w:val="24"/>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 (Unaudited)</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 (Unaudited)</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months ended March 31, 2026 and 2025</w:t>
            </w:r>
          </w:p>
        </w:tc>
        <w:tc>
          <w:tcPr>
            <w:tcW w:w="520" w:type="dxa"/>
            <w:vAlign w:val="bottom"/>
            <w:gridSpan w:val="2"/>
          </w:tcPr>
          <w:p>
            <w:pPr>
              <w:spacing w:after="0"/>
              <w:rPr>
                <w:sz w:val="24"/>
                <w:szCs w:val="24"/>
                <w:color w:val="auto"/>
              </w:rPr>
            </w:pPr>
          </w:p>
        </w:tc>
        <w:tc>
          <w:tcPr>
            <w:tcW w:w="9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60" w:type="dxa"/>
            <w:vAlign w:val="bottom"/>
            <w:tcBorders>
              <w:top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2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720" w:type="dxa"/>
            <w:vAlign w:val="bottom"/>
            <w:vMerge w:val="restart"/>
          </w:tcPr>
          <w:p>
            <w:pPr>
              <w:spacing w:after="0"/>
              <w:rPr>
                <w:sz w:val="24"/>
                <w:szCs w:val="2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77"/>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40" w:type="dxa"/>
            <w:vAlign w:val="bottom"/>
            <w:tcBorders>
              <w:top w:val="single" w:sz="8" w:color="0000FF"/>
              <w:bottom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gridSpan w:val="2"/>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5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gridSpan w:val="2"/>
          </w:tcPr>
          <w:p>
            <w:pPr>
              <w:spacing w:after="0"/>
              <w:rPr>
                <w:sz w:val="14"/>
                <w:szCs w:val="14"/>
                <w:color w:val="auto"/>
              </w:rPr>
            </w:pPr>
          </w:p>
        </w:tc>
        <w:tc>
          <w:tcPr>
            <w:tcW w:w="220" w:type="dxa"/>
            <w:vAlign w:val="bottom"/>
            <w:gridSpan w:val="2"/>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Borders>
              <w:bottom w:val="single" w:sz="8" w:color="0000FF"/>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 (Unaudited)</w:t>
            </w:r>
          </w:p>
        </w:tc>
        <w:tc>
          <w:tcPr>
            <w:tcW w:w="460" w:type="dxa"/>
            <w:vAlign w:val="bottom"/>
          </w:tcPr>
          <w:p>
            <w:pPr>
              <w:spacing w:after="0"/>
              <w:rPr>
                <w:sz w:val="24"/>
                <w:szCs w:val="24"/>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2"/>
              </w:rPr>
              <w:t>Item 2.</w:t>
            </w:r>
          </w:p>
        </w:tc>
        <w:tc>
          <w:tcPr>
            <w:tcW w:w="900" w:type="dxa"/>
            <w:vAlign w:val="bottom"/>
            <w:gridSpan w:val="5"/>
          </w:tcPr>
          <w:p>
            <w:pPr>
              <w:spacing w:after="0"/>
              <w:rPr>
                <w:sz w:val="24"/>
                <w:szCs w:val="24"/>
                <w:color w:val="auto"/>
              </w:rPr>
            </w:pPr>
          </w:p>
        </w:tc>
        <w:tc>
          <w:tcPr>
            <w:tcW w:w="64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20" w:type="dxa"/>
            <w:vAlign w:val="bottom"/>
            <w:gridSpan w:val="4"/>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2"/>
              </w:rPr>
              <w:t>Item 4.</w:t>
            </w:r>
          </w:p>
        </w:tc>
        <w:tc>
          <w:tcPr>
            <w:tcW w:w="80" w:type="dxa"/>
            <w:vAlign w:val="bottom"/>
            <w:tcBorders>
              <w:top w:val="single" w:sz="8" w:color="0000FF"/>
            </w:tcBorders>
          </w:tcPr>
          <w:p>
            <w:pPr>
              <w:spacing w:after="0"/>
              <w:rPr>
                <w:sz w:val="24"/>
                <w:szCs w:val="24"/>
                <w:color w:val="auto"/>
              </w:rPr>
            </w:pPr>
          </w:p>
        </w:tc>
        <w:tc>
          <w:tcPr>
            <w:tcW w:w="820" w:type="dxa"/>
            <w:vAlign w:val="bottom"/>
            <w:gridSpan w:val="4"/>
          </w:tcPr>
          <w:p>
            <w:pPr>
              <w:spacing w:after="0"/>
              <w:rPr>
                <w:sz w:val="24"/>
                <w:szCs w:val="24"/>
                <w:color w:val="auto"/>
              </w:rPr>
            </w:pPr>
          </w:p>
        </w:tc>
        <w:tc>
          <w:tcPr>
            <w:tcW w:w="43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660" w:type="dxa"/>
            <w:vAlign w:val="bottom"/>
            <w:gridSpan w:val="8"/>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820" w:type="dxa"/>
            <w:vAlign w:val="bottom"/>
            <w:gridSpan w:val="4"/>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2"/>
              </w:rPr>
              <w:t>Item 1.</w:t>
            </w:r>
          </w:p>
        </w:tc>
        <w:tc>
          <w:tcPr>
            <w:tcW w:w="80" w:type="dxa"/>
            <w:vAlign w:val="bottom"/>
            <w:tcBorders>
              <w:top w:val="single" w:sz="8" w:color="0000FF"/>
            </w:tcBorders>
          </w:tcPr>
          <w:p>
            <w:pPr>
              <w:spacing w:after="0"/>
              <w:rPr>
                <w:sz w:val="24"/>
                <w:szCs w:val="24"/>
                <w:color w:val="auto"/>
              </w:rPr>
            </w:pPr>
          </w:p>
        </w:tc>
        <w:tc>
          <w:tcPr>
            <w:tcW w:w="820" w:type="dxa"/>
            <w:vAlign w:val="bottom"/>
            <w:gridSpan w:val="4"/>
          </w:tcPr>
          <w:p>
            <w:pPr>
              <w:spacing w:after="0"/>
              <w:rPr>
                <w:sz w:val="24"/>
                <w:szCs w:val="24"/>
                <w:color w:val="auto"/>
              </w:rPr>
            </w:pPr>
          </w:p>
        </w:tc>
        <w:tc>
          <w:tcPr>
            <w:tcW w:w="15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60" w:type="dxa"/>
            <w:vAlign w:val="bottom"/>
            <w:gridSpan w:val="12"/>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82"/>
              </w:rPr>
              <w:t>Item 2.</w:t>
            </w:r>
          </w:p>
        </w:tc>
        <w:tc>
          <w:tcPr>
            <w:tcW w:w="18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2"/>
              </w:rPr>
              <w:t>Item 3.</w:t>
            </w:r>
          </w:p>
        </w:tc>
        <w:tc>
          <w:tcPr>
            <w:tcW w:w="900" w:type="dxa"/>
            <w:vAlign w:val="bottom"/>
            <w:gridSpan w:val="5"/>
          </w:tcPr>
          <w:p>
            <w:pPr>
              <w:spacing w:after="0"/>
              <w:rPr>
                <w:sz w:val="24"/>
                <w:szCs w:val="24"/>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4860" w:type="dxa"/>
            <w:vAlign w:val="bottom"/>
            <w:tcBorders>
              <w:top w:val="single" w:sz="8" w:color="0000FF"/>
            </w:tcBorders>
            <w:gridSpan w:val="4"/>
          </w:tcPr>
          <w:p>
            <w:pPr>
              <w:spacing w:after="0"/>
              <w:rPr>
                <w:sz w:val="24"/>
                <w:szCs w:val="24"/>
                <w:color w:val="auto"/>
              </w:rPr>
            </w:pPr>
          </w:p>
        </w:tc>
        <w:tc>
          <w:tcPr>
            <w:tcW w:w="178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0000FF"/>
                <w:w w:val="82"/>
              </w:rPr>
              <w:t>Item 4.</w:t>
            </w:r>
          </w:p>
        </w:tc>
        <w:tc>
          <w:tcPr>
            <w:tcW w:w="900" w:type="dxa"/>
            <w:vAlign w:val="bottom"/>
            <w:gridSpan w:val="5"/>
          </w:tcPr>
          <w:p>
            <w:pPr>
              <w:spacing w:after="0"/>
              <w:rPr>
                <w:sz w:val="24"/>
                <w:szCs w:val="24"/>
                <w:color w:val="auto"/>
              </w:rPr>
            </w:pPr>
          </w:p>
        </w:tc>
        <w:tc>
          <w:tcPr>
            <w:tcW w:w="89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2"/>
              </w:rPr>
              <w:t>Item 5.</w:t>
            </w:r>
          </w:p>
        </w:tc>
        <w:tc>
          <w:tcPr>
            <w:tcW w:w="900" w:type="dxa"/>
            <w:vAlign w:val="bottom"/>
            <w:gridSpan w:val="5"/>
          </w:tcPr>
          <w:p>
            <w:pPr>
              <w:spacing w:after="0"/>
              <w:rPr>
                <w:sz w:val="24"/>
                <w:szCs w:val="24"/>
                <w:color w:val="auto"/>
              </w:rPr>
            </w:pP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2"/>
              </w:rPr>
              <w:t>Item 6.</w:t>
            </w:r>
          </w:p>
        </w:tc>
        <w:tc>
          <w:tcPr>
            <w:tcW w:w="900" w:type="dxa"/>
            <w:vAlign w:val="bottom"/>
            <w:gridSpan w:val="5"/>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3"/>
          </w:tcPr>
          <w:p>
            <w:pPr>
              <w:spacing w:after="0"/>
              <w:rPr>
                <w:sz w:val="24"/>
                <w:szCs w:val="24"/>
                <w:color w:val="auto"/>
              </w:rPr>
            </w:pPr>
          </w:p>
        </w:tc>
        <w:tc>
          <w:tcPr>
            <w:tcW w:w="7640" w:type="dxa"/>
            <w:vAlign w:val="bottom"/>
            <w:gridSpan w:val="13"/>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77"/>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00" w:type="dxa"/>
            <w:vAlign w:val="bottom"/>
            <w:gridSpan w:val="9"/>
          </w:tcPr>
          <w:p>
            <w:pPr>
              <w:ind w:left="4200"/>
              <w:spacing w:after="0"/>
              <w:rPr>
                <w:sz w:val="20"/>
                <w:szCs w:val="20"/>
                <w:color w:val="auto"/>
              </w:rPr>
            </w:pPr>
            <w:r>
              <w:rPr>
                <w:rFonts w:ascii="Times New Roman" w:cs="Times New Roman" w:eastAsia="Times New Roman" w:hAnsi="Times New Roman"/>
                <w:sz w:val="18"/>
                <w:szCs w:val="18"/>
                <w:color w:val="auto"/>
                <w:w w:val="88"/>
              </w:rPr>
              <w:t>2</w:t>
            </w: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w:t>
      </w:r>
    </w:p>
    <w:p>
      <w:pPr>
        <w:spacing w:after="0" w:line="81"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for our Growth Direct platform and systems;</w:t>
      </w:r>
    </w:p>
    <w:p>
      <w:pPr>
        <w:spacing w:after="0" w:line="11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and financial position, including our expectations regarding revenue, gross margin, gross margin percentage, operating expenses and our ability to achieve positive cash flow;</w:t>
      </w:r>
    </w:p>
    <w:p>
      <w:pPr>
        <w:spacing w:after="0" w:line="53"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to achieve positive cash flow, our efforts to reduce our use of cash for operating and investing activities, our efforts to increase productivity and efficiency and to pursue growth opportunities and the assumptions underlying such goal;</w:t>
      </w:r>
    </w:p>
    <w:p>
      <w:pPr>
        <w:spacing w:after="0" w:line="40"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our debt facility with Trinity Capital Inc., including with respect to our financial position, cash forecast and use of proceeds;</w:t>
      </w:r>
    </w:p>
    <w:p>
      <w:pPr>
        <w:spacing w:after="0" w:line="67" w:lineRule="exact"/>
        <w:rPr>
          <w:rFonts w:ascii="Times New Roman" w:cs="Times New Roman" w:eastAsia="Times New Roman" w:hAnsi="Times New Roman"/>
          <w:sz w:val="18"/>
          <w:szCs w:val="18"/>
          <w:color w:val="auto"/>
        </w:rPr>
      </w:pPr>
    </w:p>
    <w:p>
      <w:pPr>
        <w:jc w:val="both"/>
        <w:ind w:left="980" w:right="42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assumptions related to our future funding requirements and available capital resources, which may be impacted by market uptake of our Growth Direct platform and systems, our management of inventory and supply chain, our capital expenditures, our research and development activities and our sales, marketing, manufacturing and distribution activities;</w:t>
      </w:r>
    </w:p>
    <w:p>
      <w:pPr>
        <w:spacing w:after="0" w:line="67"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for our Growth Direct platform and systems, including expectations for customer adoption of new applications for our Growth Direct system;</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force and our sales processes;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growth rates in our business and in the markets in which we operate;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activities and prospective new features, products and product approvals;</w:t>
      </w:r>
    </w:p>
    <w:p>
      <w:pPr>
        <w:spacing w:after="0" w:line="117"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needs and successfully develop and launch new and enhanced solutions to meet those needs, including prospective products;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necessary qualified employees to grow our business and expand our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inflation and fluctuations in interest rates on our business and operating costs;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the listing requirements of The Nasdaq Stock Market LLC ("Nasdaq");</w:t>
      </w:r>
    </w:p>
    <w:p>
      <w:pPr>
        <w:spacing w:after="0" w:line="117"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ongoing conditions in the financial markets and banking system on our operations and financial results;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w:t>
      </w:r>
    </w:p>
    <w:p>
      <w:pPr>
        <w:spacing w:after="0" w:line="22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under Part II, Item 1A, "Risk Factors" of this Quarterly Report on Form 10-Q.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caution you not to place undue reliance on forward-looking statements, which speak only as of the date hereof.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as part of your evaluation of an investment in our Class A common stock. The principal risks and uncertainties affecting our business include, but are not limited to, the following:</w:t>
      </w:r>
    </w:p>
    <w:p>
      <w:pPr>
        <w:spacing w:after="0" w:line="68" w:lineRule="exact"/>
        <w:rPr>
          <w:sz w:val="20"/>
          <w:szCs w:val="20"/>
          <w:color w:val="auto"/>
        </w:rPr>
      </w:pPr>
    </w:p>
    <w:p>
      <w:pPr>
        <w:ind w:left="980" w:right="1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expect to incur losses in the future and we may not be able to achieve and maintain positive cash flow and profitability;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commercial success of our Growth Direct platform, which may not be achieved or maintained;</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fluctuated significantly in the past and will fluctuate significantly in the future, which makes our future operating results difficult to predict and could cause our operating results to fall below expectations;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 the past and may in the future fail to meet our publicly announced guidance or other expectations about our business and future operating results, which could adversely affect our business, reputation and financial results and cause our stock price to decline;</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the level of sales of our Growth Direct systems or the sales of our consumables and services to existing customers declines, our future operating results would be adversely affected;</w:t>
      </w:r>
    </w:p>
    <w:p>
      <w:pPr>
        <w:spacing w:after="0" w:line="161" w:lineRule="exact"/>
        <w:rPr>
          <w:rFonts w:ascii="Times New Roman" w:cs="Times New Roman" w:eastAsia="Times New Roman" w:hAnsi="Times New Roman"/>
          <w:sz w:val="18"/>
          <w:szCs w:val="18"/>
          <w:color w:val="auto"/>
        </w:rPr>
      </w:pPr>
    </w:p>
    <w:p>
      <w:pPr>
        <w:ind w:left="980" w:right="8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or otherwise decide to raise additional capital to fund our existing operations, improve our platform or develop and commercialize new products or expand our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any future indebtedness could adversely affect our ability to operate our business;</w:t>
      </w:r>
    </w:p>
    <w:p>
      <w:pPr>
        <w:spacing w:after="0" w:line="225"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heavily on establishing and maintaining our position in the market as a leading provider of automated microbial quality control ("MQC") testing;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expanding our business with existing customers and driving adoption of our solutions with new customers;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and forecasts of market growth for automated MQC testing and other of our key performance indicators are based on a number of complex assumptions and estimates, and may be inaccurate;</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development involves a lengthy and complex process and we may be unable to develop or commercialize products on a timely basis, or at all;</w:t>
      </w:r>
    </w:p>
    <w:p>
      <w:pPr>
        <w:spacing w:after="0" w:line="161"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use our Growth Direct platform as part of their quality control workflow, which is subject to regulation by the U.S. Food and Drug Administration and other comparable regulatory authorities;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inventory and support demand for existing and future products on the Growth Direct platform, our business could suffer;</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14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marketing and sales, and if we are unable to successfully market our products to new and existing customers, address our customers’ needs or to expand our customer base, our business may be adversely affected;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we may be unable to increase or sustain our revenue, or achieve and sustain profitability;</w:t>
      </w:r>
    </w:p>
    <w:p>
      <w:pPr>
        <w:spacing w:after="0" w:line="225"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develop new products, adapt to rapid and significant technological change and respond to introductions of new products by competitors to remain competitive;</w:t>
      </w:r>
    </w:p>
    <w:p>
      <w:pPr>
        <w:spacing w:after="0" w:line="161" w:lineRule="exact"/>
        <w:rPr>
          <w:rFonts w:ascii="Times New Roman" w:cs="Times New Roman" w:eastAsia="Times New Roman" w:hAnsi="Times New Roman"/>
          <w:sz w:val="18"/>
          <w:szCs w:val="18"/>
          <w:color w:val="auto"/>
        </w:rPr>
      </w:pPr>
    </w:p>
    <w:p>
      <w:pPr>
        <w:ind w:left="980" w:right="180" w:hanging="324"/>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significant resources required to enable access in new markets, we must make strategic and operational decisions to prioritize certain markets, products and services. We may expend our resources to access markets and develop products and services that do not yield meaningful revenue or we may fail to capitalize on markets, products or services that may be more profitable or with a greater potential for success;</w:t>
      </w:r>
    </w:p>
    <w:p>
      <w:pPr>
        <w:spacing w:after="0" w:line="179"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Direct platform may contain undetected errors or defects and may not meet the expectations of our customers, which means our business, financial condition, results of operations and prospects could suffer;</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lawsuits against us could cause us to incur substantial liabilities and limit commercialization of any products that we may develop;</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management, cannot recruit qualified employees, directors, officers or other significant personnel or experience increases in our compensation costs, our business may be materially harmed;</w:t>
      </w:r>
    </w:p>
    <w:p>
      <w:pPr>
        <w:spacing w:after="0" w:line="1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intended benefits of our strategic partnerships and other collaborations, and such relationships may introduce additional risks to our business.</w:t>
      </w:r>
    </w:p>
    <w:p>
      <w:pPr>
        <w:spacing w:after="0" w:line="161"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primary manufacturing facility or development facility become damaged or inoperable or we are required to vacate one or both facilities, our ability to conduct and pursue our manufacturing and/or development efforts would be jeopardized;</w:t>
      </w:r>
    </w:p>
    <w:p>
      <w:pPr>
        <w:spacing w:after="0" w:line="161"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operations are dependent upon third-party suppliers, including single-source suppliers, making us vulnerable to supply shortages and price fluctuations, which could harm our business;</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sufficient intellectual property protection for our technology, including the Growth Direct platform,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products for an adequate amount of time;</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and fluctuate substantially, which could result in substantial losses for our stockholders;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Class A common stock is delisted from Nasdaq, the liquidity of our Class A common stock would be adversely affected and the market price of our common stock could decrease; and</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the actions of activist shareholders or unsolicited acquisition proposals, which could cause us to incur substantial costs, divert management’s and the board’s attention and resources, and have an adverse effect on our business and stock price.</w:t>
      </w:r>
    </w:p>
    <w:p>
      <w:pPr>
        <w:spacing w:after="0" w:line="17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Solely for convenience, our trademarks and trade names in this Quarterly Report on Form 10-Q are referred to without the ® and ™ symbols, but such references should not be construed as any indicator that we will not assert, to the fullest extent under applicable law, our rights thereto.</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INTERNET POSTING OF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routinely post information that may be important to investors in the “Investors” section of our website at www.rapidmicrobio.com. We encourage investors and potential investors to consult our website regularly for important information about us. The contents of our website are not incorporated by reference in this Quarterly Report on Form 10-Q and shall not be deemed “filed” under the Exchange Act.</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20,030</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17,593</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62,363</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18,902</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$0.01 par value; 210,000,000 shares authorized at March 31, 2026 and December 31,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6"/>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 41,267,511 shares and 39,970,946 shares issued and outstanding at March 31, 2026 and December 31,</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61"/>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 respectively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5"/>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common stock, $0.01 par value; 10,000,000 shares authorized at March 31, 2026 and December 31,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1"/>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 4,499,529 shares issued and outstanding at March 31, 2026 and December 31, 2025</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at March 31, 2026 and December 31, 2025; 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61"/>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w:t>
            </w: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555,147</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(522,397)</w:t>
            </w: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33,206</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74,852</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3"/>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3"/>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23"/>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r>
      <w:tr>
        <w:trPr>
          <w:trHeight w:val="230"/>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(0.26)</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45,433,800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43,993,359</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r>
      <w:tr>
        <w:trPr>
          <w:trHeight w:val="22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w:t>
            </w:r>
          </w:p>
        </w:tc>
      </w:tr>
      <w:tr>
        <w:trPr>
          <w:trHeight w:val="21"/>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80" w:type="dxa"/>
            <w:vAlign w:val="bottom"/>
          </w:tcPr>
          <w:p>
            <w:pPr>
              <w:spacing w:after="0"/>
              <w:rPr>
                <w:sz w:val="13"/>
                <w:szCs w:val="13"/>
                <w:color w:val="auto"/>
              </w:rPr>
            </w:pPr>
          </w:p>
        </w:tc>
        <w:tc>
          <w:tcPr>
            <w:tcW w:w="1100" w:type="dxa"/>
            <w:vAlign w:val="bottom"/>
            <w:gridSpan w:val="3"/>
          </w:tcPr>
          <w:p>
            <w:pPr>
              <w:jc w:val="center"/>
              <w:ind w:left="57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3"/>
          </w:tcPr>
          <w:p>
            <w:pPr>
              <w:jc w:val="center"/>
              <w:ind w:left="59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680" w:type="dxa"/>
            <w:vAlign w:val="bottom"/>
          </w:tcPr>
          <w:p>
            <w:pPr>
              <w:spacing w:after="0"/>
              <w:rPr>
                <w:sz w:val="10"/>
                <w:szCs w:val="10"/>
                <w:color w:val="auto"/>
              </w:rPr>
            </w:pPr>
          </w:p>
        </w:tc>
        <w:tc>
          <w:tcPr>
            <w:tcW w:w="182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2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6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5"/>
                <w:szCs w:val="5"/>
                <w:color w:val="auto"/>
              </w:rPr>
            </w:pPr>
          </w:p>
        </w:tc>
        <w:tc>
          <w:tcPr>
            <w:tcW w:w="960" w:type="dxa"/>
            <w:vAlign w:val="bottom"/>
            <w:gridSpan w:val="2"/>
            <w:vMerge w:val="restart"/>
          </w:tcPr>
          <w:p>
            <w:pPr>
              <w:jc w:val="center"/>
              <w:ind w:right="20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5"/>
                <w:szCs w:val="5"/>
                <w:color w:val="auto"/>
              </w:rPr>
            </w:pPr>
          </w:p>
        </w:tc>
        <w:tc>
          <w:tcPr>
            <w:tcW w:w="980" w:type="dxa"/>
            <w:vAlign w:val="bottom"/>
            <w:gridSpan w:val="2"/>
            <w:vMerge w:val="restart"/>
          </w:tcPr>
          <w:p>
            <w:pPr>
              <w:jc w:val="center"/>
              <w:ind w:right="18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vMerge w:val="restart"/>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71"/>
        </w:trPr>
        <w:tc>
          <w:tcPr>
            <w:tcW w:w="36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39,970,946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4,499,529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555,147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(522,397)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33,206</w:t>
            </w:r>
          </w:p>
        </w:tc>
        <w:tc>
          <w:tcPr>
            <w:tcW w:w="0" w:type="dxa"/>
            <w:vAlign w:val="bottom"/>
          </w:tcPr>
          <w:p>
            <w:pPr>
              <w:spacing w:after="0"/>
              <w:rPr>
                <w:sz w:val="1"/>
                <w:szCs w:val="1"/>
                <w:color w:val="auto"/>
              </w:rPr>
            </w:pPr>
          </w:p>
        </w:tc>
      </w:tr>
      <w:tr>
        <w:trPr>
          <w:trHeight w:val="139"/>
        </w:trPr>
        <w:tc>
          <w:tcPr>
            <w:tcW w:w="3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Class A common stock upon exercise of common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102,368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Class A common stock under ESPP</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exercise of warrant to purchase Class A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(14,275)</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41,267,511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4,499,529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20,398</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680" w:type="dxa"/>
            <w:vAlign w:val="bottom"/>
          </w:tcPr>
          <w:p>
            <w:pPr>
              <w:spacing w:after="0"/>
              <w:rPr>
                <w:sz w:val="24"/>
                <w:szCs w:val="24"/>
                <w:color w:val="auto"/>
              </w:rPr>
            </w:pPr>
          </w:p>
        </w:tc>
        <w:tc>
          <w:tcPr>
            <w:tcW w:w="1100" w:type="dxa"/>
            <w:vAlign w:val="bottom"/>
            <w:gridSpan w:val="3"/>
          </w:tcPr>
          <w:p>
            <w:pPr>
              <w:jc w:val="center"/>
              <w:ind w:left="57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center"/>
              <w:ind w:left="59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182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20" w:type="dxa"/>
            <w:vAlign w:val="bottom"/>
            <w:gridSpan w:val="5"/>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68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paid-in</w:t>
            </w:r>
          </w:p>
        </w:tc>
        <w:tc>
          <w:tcPr>
            <w:tcW w:w="120" w:type="dxa"/>
            <w:vAlign w:val="bottom"/>
          </w:tcPr>
          <w:p>
            <w:pPr>
              <w:spacing w:after="0"/>
              <w:rPr>
                <w:sz w:val="6"/>
                <w:szCs w:val="6"/>
                <w:color w:val="auto"/>
              </w:rPr>
            </w:pPr>
          </w:p>
        </w:tc>
        <w:tc>
          <w:tcPr>
            <w:tcW w:w="960" w:type="dxa"/>
            <w:vAlign w:val="bottom"/>
            <w:gridSpan w:val="2"/>
          </w:tcPr>
          <w:p>
            <w:pPr>
              <w:jc w:val="center"/>
              <w:ind w:right="200"/>
              <w:spacing w:after="0" w:line="7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6"/>
                <w:szCs w:val="6"/>
                <w:color w:val="auto"/>
              </w:rPr>
            </w:pPr>
          </w:p>
        </w:tc>
        <w:tc>
          <w:tcPr>
            <w:tcW w:w="98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80" w:type="dxa"/>
            <w:vAlign w:val="bottom"/>
          </w:tcPr>
          <w:p>
            <w:pPr>
              <w:spacing w:after="0"/>
              <w:rPr>
                <w:sz w:val="15"/>
                <w:szCs w:val="15"/>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37,729,242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5,309,529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550,157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(475,274)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75,352</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Class A common stock under ESPP</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3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Class A common stock upon exercise of common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273,385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35"/>
        </w:trPr>
        <w:tc>
          <w:tcPr>
            <w:tcW w:w="3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Class B common stock to Class A common</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(810,000)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(11,263)</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39,191,669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4,499,529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551,578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(486,537)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65,491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on investments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w:t>
            </w:r>
          </w:p>
        </w:tc>
      </w:tr>
      <w:tr>
        <w:trPr>
          <w:trHeight w:val="129"/>
        </w:trPr>
        <w:tc>
          <w:tcPr>
            <w:tcW w:w="8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investments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Maturity of investments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w:t>
            </w:r>
          </w:p>
        </w:tc>
      </w:tr>
      <w:tr>
        <w:trPr>
          <w:trHeight w:val="20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Class A common stock - stock option exercise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Class A common stock - employee stock purchase plan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17,276</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Rapid Micro Biosystems, Inc. (the “Company”) was incorporated under the laws of the State of Delaware on December 29, 2006. The Company develops, manufactures, markets and sells Growth Direct systems (“Systems”), proprietary consumables, laboratory information management system (“LIMS”) connection and other software, and services to address rapid microbial analysis used for quality control in the manufacture of pharmaceuticals, medical devices and personal care products. The Company’s technology uses a highly sensitive camera and the natural auto fluorescence of living cells to identify and quantify microbial growth faster and more accurately than the traditional method, which relies on the human eye. The Company currently sells to customers in North America, Europe and the Asia-Pacific region. The Company is headquartered in Lexington, Massachusetts.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generally accepted accounting principles in the United States of America (“GAAP”) and include the accounts of the Company and its wholly owned subsidiaries in Germany and Switzerland. All intercompany accounts and transactions have been eliminated in consolidation. Certain information and note disclosures normally included in the consolidated financial statements prepared in accordance with GAAP have been condensed or omitted. Therefore, these condensed consolidated financial statements should be read in conjunction with the consolidated financial statements and notes included in the Company’s audited consolidated financial statements for the year ended December 31, 2025. Any reference in these notes to applicable guidance is meant to refer to the authoritative GAAP as found in the Accounting Standards Codification (“ASC”) and Accounting Standards Update (“ASU”) of the Financial Accounting Standards Board (“FASB”).</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2026 and the results of its operations and its cash flows for the three months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any other interim periods, or any future year or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Certain amounts in the prior period financial statements have been reclassified to conform to the presentation of the current period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net cash outflows from operations since its inception. The Company expects to continue to generate operating losses in the near to medium term. To date, the Company has funded operations primarily through proceeds from sales of redeemable convertible preferred stock, borrowings under loan agreements, revenue from sales of our products and services, proceeds from the Company's initial public offering ("IPO"), and proceeds from the Company's at-the-market facility.</w:t>
      </w:r>
    </w:p>
    <w:p>
      <w:pPr>
        <w:spacing w:after="0" w:line="166" w:lineRule="exact"/>
        <w:rPr>
          <w:sz w:val="20"/>
          <w:szCs w:val="20"/>
          <w:color w:val="auto"/>
        </w:rPr>
      </w:pPr>
    </w:p>
    <w:p>
      <w:pPr>
        <w:ind w:right="220" w:firstLine="324"/>
        <w:spacing w:after="0" w:line="245" w:lineRule="auto"/>
        <w:rPr>
          <w:sz w:val="20"/>
          <w:szCs w:val="20"/>
          <w:color w:val="auto"/>
        </w:rPr>
      </w:pPr>
      <w:r>
        <w:rPr>
          <w:rFonts w:ascii="Times New Roman" w:cs="Times New Roman" w:eastAsia="Times New Roman" w:hAnsi="Times New Roman"/>
          <w:sz w:val="18"/>
          <w:szCs w:val="18"/>
          <w:color w:val="auto"/>
        </w:rPr>
        <w:t>On August 8, 2025, the Company entered into a Loan and Security Agreement ("LSA") with the lenders party thereto and Trinity Capital Inc., as administrative agent and collateral agent, with an aggregate principal amount of $45.0 million, with $20.0 million drawn on the first tranche and up to an additional $20.0 million in the aggregate, across two equal tranches, available if certain commercial and operational milestones are met, and up to an additional $5.0 million at the lenders' sole discretion.</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December 15, 2023, the Company entered into a sales agreement, or the ATM Agreement, to establish an "at-the-market" facility with Cowen and Company, LLC, or Cowen, pursuant to which the Company may issue and sell shares of its Class A common stock. During the year ended December 31, 2025, the Company sold 113,217 shares of Class A common stock under this facility resulting in net proceeds of $0.4 million. During the quarter ended March 31, 2026</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the filing date of this Quarterly Report, the Company did not issue or sell any shares of its Class A common stock under this facility.</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the Company's expectations and underlying assumptions of business performance, including revenue growth, gross margin improvement, and control of operating costs, are not realized, the Company may need to reduce spending or raise additional funding which could be through equity offerings, additional debt financings or a combination thereof. If the Company is unable to raise capital as, if and when, needed, the Company may have to significantly delay, scale back or discontinue its expansion plans including further development and commercialization efforts of one or more of its products.</w:t>
      </w:r>
    </w:p>
    <w:p>
      <w:pPr>
        <w:spacing w:after="0" w:line="183"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that its existing cash, cash equivalents and investments and additional borrowing capacity expected to become available under the LSA that is subject to the satisfaction of certain commercial and operational milestones and other conditions later this year will be sufficient to fund its operating expenses and capital expenditure requirements for at least twelve months following the date these consolidated financial statements were issued.</w:t>
      </w:r>
    </w:p>
    <w:p>
      <w:pPr>
        <w:spacing w:after="0" w:line="17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periods. Significant estimates and assumptions reflected in these condensed consolidated financial statements include, but are not limited to, calculating the standalone selling price for revenue recognition, the valuation of inventory, and the valuation of stock-based awards. The Company bases its estimates on historical experience, known trends and other market-specific and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9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during the three months ended March 31, 2026, as compared to those disclosed in Note 2 of the audited consolidated financial statements filed with the Company’s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of concentrations of credit, significant customers and significant suppliers</w:t>
      </w:r>
    </w:p>
    <w:p>
      <w:pPr>
        <w:spacing w:after="0" w:line="22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short-term investments and accounts receivable. The Company maintains its cash and cash equivalents with financial institutions that management believes to be of high credit quality, and does not believe that it is subject to unusual credit risk beyond the credit risk associated with commercial banking relationships.</w:t>
      </w:r>
    </w:p>
    <w:p>
      <w:pPr>
        <w:spacing w:after="0" w:line="17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Significant customers are those which represent more than 10% of the Company’s total revenue or accounts receivable balance at each respective balance sheet date. The following table presents customers that represented 10% or more of the Company’s total revenue: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40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8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shd w:val="clear" w:color="auto" w:fill="CCEEFF"/>
          </w:tcPr>
          <w:p>
            <w:pPr>
              <w:spacing w:after="0"/>
              <w:rPr>
                <w:sz w:val="19"/>
                <w:szCs w:val="19"/>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less than 10%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customers that represented 10% or more of the Company’s accounts receivable: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7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5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0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38.5 %</w:t>
            </w: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less than 10%</w:t>
      </w:r>
    </w:p>
    <w:p>
      <w:pPr>
        <w:spacing w:after="0" w:line="207"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Company relies on third parties for the supply and manufacture of certain components of its products as well as third-party logistics providers. There were no significant concentrations around a single third-party supplier, manufacturer, or logistics provider for the three months ended March 31, 2026 or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at the time of purchase to be cash equivalents. Cash equivalents that are readily convertible to cash are stated at cost, which approximates fair value. At March 31, 2026 and December 31, 2025, the Company held cash of $0.3 million and $0.1 million in banks located outside of the United States,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was required to maintain guaranteed investment certificates of $0.3 million with maturities of three months to one year that are subject to an insignificant risk of changes in value. The guaranteed investment certificates are held for the benefit of the landlord in connection with operating leases which have remaining terms of greater than one year and are classified as restricted cash (non-current)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are customer obligations that are unconditional. Accounts receivable are presented net of an allowance for doubtful accounts for expected credit losses, which represents an estimate of amounts that may not be collectible. The Company performs ongoing credit evaluations of its customers and, if necessary, provides an allowance for doubtful accounts and expected credit losses. A provision to the allowance for doubtful accounts for expected credit losses is recorded based on factors including the length of time the receivables are past due, the current business environment, the geographic market, and the Company’s historical experience. Provisions to the allowance for doubtful accounts for expected credit losses are recorded to general and administrative expenses in the condensed consolidated statements of operations. The Company writes off accounts receivable against the allowance when it determines a balance is uncollectible and no longer actively pursues collection of the receivable. The Company does not have any off-balance-sheet credit exposure related to customers. As of March 31, 2026 and December 31, 2025, the allowance for doubtful accounts for expected credit losses was zero.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costs</w:t>
      </w:r>
    </w:p>
    <w:p>
      <w:pPr>
        <w:spacing w:after="0" w:line="22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software development costs for internal-use software under the provisions of ASC 350-40, </w:t>
      </w: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(“ASC 350”). Accordingly, certain costs to develop internal-use computer software are capitalized, provided these costs are expected to be recoverable. There was $1.6 million of software development costs related to the Company's enterprise resource planning ("ERP") system capitalized in other long-term assets at March 31, 2026 and December 31, 2025. Accumulated amortization of these costs was $1.6 million at March 31, 2026 and December 31, 2025. These capitalized costs are being amortized on a straight-line basis over the initial subscription term of five years. For the three months ended March 31, 2026 and 2025, there was less than $0.1 million and $0.1 million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respectively, related to capitalized software development costs recorded in the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3"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340" w:right="56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cash equivalents and short-term investments are carried at fair value, determined according to the fair value hierarchy described above (see Note 3). The carrying values of the Company’s accounts receivable, prepaid expenses and other current assets, accounts payable and accrued expenses and other current liabilities approximate their fair values due to the short-term nature of these assets and liabilities. The carrying value of long-term debt approximates fair value as the interest rate under the obligation approximates market rates of interest available to the Company for similar instruments and is net of unamortized debt issuance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common stock warrants as equity if the contract requires physical settlement or net physical settlement or if the Company has the option of physical settlement or net physical settlement and the warrants meet the requirements to be classified as equity. Common stock warrants classified as equity are initially measured at fair value using the Black-Scholes-Merton ("Black Scholes") option pricing model using various inputs, including Company estimates of expected stock price volatility, term, risk-free rate and future dividends, on the issuance date and are not subsequently remeasured.</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common stock warrants as a liability in accordance with ASC 815-40-15 if the warrants do not meet the criteria for equity treatment and must be recorded as liabilities. Accordingly, the Company classifies the warrants as liabilities based on their fair value at issuance. This liability is subject to re-measurement at each balance sheet date until exercised, and any change in fair value is recognized in the other expense line of the condensed consolidated statement of operations and comprehensive loss. The warrants are valued using the Black-Scholes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 offers a one-year limited assurance warranty on System sales, which is included in the selling price. The Company also performs preventative maintenance visits, or a service warranty, during the warranty period. Similarly, from time to time, we have determined, and may in the future determine, to repair, replace or otherwise remedy other products, including our consumables, at no charge to customers. We update our estimate for assurance warranty expenses at each reporting period, net of warranty claims. The accrual for assurance warranty obligations is included in accrued expenses and other current liabilities in the condensed consolidated balance sheets. The following table presents a summary of changes in the amount reserved for warranty cost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62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r>
      <w:tr>
        <w:trPr>
          <w:trHeight w:val="23"/>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Warranty provisions</w:t>
            </w:r>
          </w:p>
        </w:tc>
        <w:tc>
          <w:tcPr>
            <w:tcW w:w="10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Warranty repairs</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the period</w:t>
            </w:r>
          </w:p>
        </w:tc>
        <w:tc>
          <w:tcPr>
            <w:tcW w:w="1020" w:type="dxa"/>
            <w:vAlign w:val="bottom"/>
            <w:tcBorders>
              <w:top w:val="single" w:sz="8" w:color="auto"/>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7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determined its operating segment after considering the Company’s organizational structure and the information regularly reviewed and evaluated by the Company’s chief operating decision maker (“CODM”) in deciding how to allocate resources and assess performance. The Company has determined that its CODM is its Chief Executive Officer. The CODM reviews the financial information on a consolidated basis, specifically net loss on the condensed consolidated statement of operations, for purposes of evaluating financial performance and allocating resources. The CODM reviews all functional expenses (cost of revenues, sales and marketing, research and development, and general and administrative) at the consolidated level to manage the Company's operations. Other segment items included in consolidated net loss are interest income, interest expense, other expense, and provision for income taxes. These line items are reflected in the condensed consolidated statement of operations. The chief operating decision maker considers budget-to-actual variances on a monthly basis for the profit measure when making decisions about allocating capital and personnel to the segment. On the basis of these factors, the Company determined that it operates and manages its business as one operating segment, that develops, manufactures, markets and sells Systems and related LIMS connection and other software, consumables and services; and accordingly has one reportable segment for financial reporting purposes. The measure of the segment's assets is reported on the balance sheet as total consolidated assets. Substantially all of the Company’s long-lived assets are held in the United States.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w:t>
      </w:r>
      <w:r>
        <w:rPr>
          <w:rFonts w:ascii="Times New Roman" w:cs="Times New Roman" w:eastAsia="Times New Roman" w:hAnsi="Times New Roman"/>
          <w:sz w:val="18"/>
          <w:szCs w:val="18"/>
          <w:color w:val="231F20"/>
        </w:rPr>
        <w:t>(iii)</w:t>
      </w:r>
      <w:r>
        <w:rPr>
          <w:rFonts w:ascii="Times New Roman" w:cs="Times New Roman" w:eastAsia="Times New Roman" w:hAnsi="Times New Roman"/>
          <w:sz w:val="18"/>
          <w:szCs w:val="18"/>
          <w:color w:val="auto"/>
        </w:rPr>
        <w:t xml:space="preserve"> 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 from contracts with customers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Contract assets arise from customer arrangements when revenue recognized exceeds the amount billed to the customer and the Company’s right to payment is conditional and not only subject to the passage of time. The Company had $0.1 million in contract assets included in prepaid expenses and other current assets in the condensed consolidated balance sheets as of both March 31, 2026 and December 31, 2025, respectively. These balances relate to unbilled amounts with customers.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324"/>
        <w:spacing w:after="0"/>
        <w:rPr>
          <w:sz w:val="20"/>
          <w:szCs w:val="20"/>
          <w:color w:val="auto"/>
        </w:rPr>
      </w:pPr>
      <w:r>
        <w:rPr>
          <w:rFonts w:ascii="Times New Roman" w:cs="Times New Roman" w:eastAsia="Times New Roman" w:hAnsi="Times New Roman"/>
          <w:sz w:val="18"/>
          <w:szCs w:val="18"/>
          <w:color w:val="auto"/>
        </w:rPr>
        <w:t>Contract liabilities represent the Company’s obligation to transfer goods or services to a customer for which it has received consideration (or the amount is due) from the customer. The Company has a contract liability related to service revenue, which consists of amounts that have been invoiced but that have not been recognized as revenue. Amounts expected to be recognized as revenue within 12 months of the balance sheet date are classified as current deferred revenue and amounts expected to be recognized as revenue beyond 12 months of the balance sheet date are classified as non-current deferred revenue. The Company did not record any non-current deferred revenue as of March 31, 2026 or December 31, 2025. Deferred revenue was $6.6 million and $4.7 million at March 31, 2026 and December 31, 2025, respectively. Revenue recognized during the three months ended March 31, 2026 and 2025 that was included in deferred revenue at the prior period-end was $1.6 million and $2.1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disaggregates revenue based on the recurring and non-recurring nature of the underlying sale. Recurring revenue includes sales of consumables and service contracts. The Company considers these to be recurring revenues because customers typically place purchase orders on a periodic basis as they use their Growth Direct system(s) over time. These arrangements typically contain a single performance obligation and thus the entire consideration to which the Company is entitled is allocated entirely to that performance obligation. Non-recurring revenue includes sales of systems, LIMS connection software, other software, validation services, and field services, and typically contains multiple performance obligations. The Company considers these to be non-recurring revenues because customers typically place single purchase orders for a bundle of products and services on a one-time or infrequent basis. For these arrangements, significant judgment is applied in identifying the distinct performance obligations, determination of the transaction price, transaction price allocation, and determination of standalone selling price for each of the distinct performance obligations.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revenue by the recurring or non-recurring nature of the revenue stream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recurring</w:t>
            </w:r>
          </w:p>
        </w:tc>
        <w:tc>
          <w:tcPr>
            <w:tcW w:w="940" w:type="dxa"/>
            <w:vAlign w:val="bottom"/>
            <w:gridSpan w:val="2"/>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non-recurring</w:t>
            </w:r>
          </w:p>
        </w:tc>
        <w:tc>
          <w:tcPr>
            <w:tcW w:w="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gridSpan w:val="2"/>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revenue by customer geography (in thousands):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7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Advertising costs are expensed as incurred and are included in sales and marketing expenses in the condensed consolidated statements of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were less than $0.1 million during each of the three months ended March 31, 2026 and 2025.</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Company measures all stock-based awards granted to employees, officers and directors based on their fair value on the date of the grant and recognizes compensation expense for those awards over the requisite service period, which is generally the vesting period of the respective award. The Company issues stock-based awards with (i) service-based vesting conditions only and (ii) stock-based awards with both service-based and Company performance vesting conditions, and records the expense for these awards using the straight-line method. Forfeitures are accounted for prospectively as they occur.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measures all restricted stock units granted based on the common stock value on the date of grant.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Measurement of Credit Losses for Accounts Receivable and Contract Assets.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The ASU is effective for annual periods beginning after December 15, 2025, and interim reporting periods within those annual reporting periods. The Company adopted this guidance prospectively effective January 1, 2026, and elected the practical expedient to assume that current conditions as of the balance sheet date do not change for the remaining life of the assets. The adoption of this ASU had no material impact on the Company's condensed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("JOBS")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newer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5"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Disaggregation of Income Statement Expenses. This update requires that public businesses provide more detailed disclosures about specific natural expense categories within their footnotes. The primary objective is to enhance transparency and provide investors with a clearer understanding of an entity's cost structure. The amendments in this update are effective for annual periods beginning after December 15, 2026, and interim periods beginning after December 15, 2027. Early adoption is permitted. The Company is in the process of evaluating the impact the adoption of this ASU will have on its consolidated financial statements and related disclosures.</w:t>
      </w:r>
    </w:p>
    <w:p>
      <w:pPr>
        <w:spacing w:after="0" w:line="18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(Subtopic 350-40): Targeted Improvements to the Accounting for Internal-Use Software. The ASU clarifies and modernizes the accounting for costs related to internal-use software. The ASU is effective for annual periods beginning after December 15, 2027, and interim reporting periods within those annual reporting periods. Early adoption is also permitted for annual or interim financial statements that have not yet been issued or made available for issuance. The Company is in the process of evaluating the impact the adoption of this ASU will have on its consolidated financial statements and related disclosures.</w:t>
      </w: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assets and liabilities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r>
      <w:tr>
        <w:trPr>
          <w:trHeight w:val="223"/>
        </w:trPr>
        <w:tc>
          <w:tcPr>
            <w:tcW w:w="50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91"/>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r>
      <w:tr>
        <w:trPr>
          <w:trHeight w:val="229"/>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23"/>
        </w:trPr>
        <w:tc>
          <w:tcPr>
            <w:tcW w:w="50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42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Level 3 liability valuations are based on unobservable inputs, which reflect the Company's own assumptions incorporated in valuation techniques used to determine fair value; further discussion of these assumptions is set forth below. During the three months ended March 31, 2026 and 2025, there were no transfers in or out of Level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Cash equivalents consist of money market funds and treasury bills and are classified within Level 1 of the fair value hierarchy because they are valued using quoted market prices in active markets. The Company considers all highly liquid interest-earning investments with a maturity of 90 days or less at the date of purchase to be cash equivalents. The fair values of these investments approximate their carrying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short-term investments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U.S. Treasury bills and notes included in short-term investments were valued by the Company using quoted prices in active markets for identical securities, which represents a Level 1 measurement within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warrant liability</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warrant liability associated with the initial tranche of the LSA borrowing at March 31, 2026 was determined using the Black-Scholes option pricing model. This represents a Level 3 measurement within the fair value hierarchy. The key inputs for the Black-Scholes valuation model were as follows: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2240" w:type="dxa"/>
            <w:vAlign w:val="bottom"/>
            <w:tcBorders>
              <w:top w:val="single" w:sz="8" w:color="auto"/>
            </w:tcBorders>
            <w:gridSpan w:val="2"/>
          </w:tcPr>
          <w:p>
            <w:pPr>
              <w:jc w:val="right"/>
              <w:ind w:right="33"/>
              <w:spacing w:after="0" w:line="151" w:lineRule="exact"/>
              <w:rPr>
                <w:sz w:val="20"/>
                <w:szCs w:val="20"/>
                <w:color w:val="auto"/>
              </w:rPr>
            </w:pPr>
            <w:r>
              <w:rPr>
                <w:rFonts w:ascii="Times New Roman" w:cs="Times New Roman" w:eastAsia="Times New Roman" w:hAnsi="Times New Roman"/>
                <w:sz w:val="14"/>
                <w:szCs w:val="14"/>
                <w:b w:val="1"/>
                <w:bCs w:val="1"/>
                <w:color w:val="auto"/>
              </w:rPr>
              <w:t>Fair value inputs as of March 31,</w:t>
            </w:r>
          </w:p>
        </w:tc>
      </w:tr>
      <w:tr>
        <w:trPr>
          <w:trHeight w:val="195"/>
        </w:trPr>
        <w:tc>
          <w:tcPr>
            <w:tcW w:w="7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54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40.35 %</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3.92 %</w:t>
            </w:r>
          </w:p>
        </w:tc>
      </w:tr>
      <w:tr>
        <w:trPr>
          <w:trHeight w:val="234"/>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Level 3 liabilities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reconciliation of the warrant liability measured at fair value on a recurring basis as of March 31, 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Warrant liability</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gain in revaluation of warrant liability</w:t>
            </w:r>
          </w:p>
        </w:tc>
        <w:tc>
          <w:tcPr>
            <w:tcW w:w="3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fair value of the warrant liability is recognized in the other expense, net line of the condensed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by investment type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60" w:type="dxa"/>
            <w:vAlign w:val="bottom"/>
            <w:gridSpan w:val="3"/>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left="341"/>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5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60" w:type="dxa"/>
            <w:vAlign w:val="bottom"/>
            <w:vMerge w:val="restart"/>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6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 Government Treasury Notes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9,136</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9,136</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60" w:type="dxa"/>
            <w:vAlign w:val="bottom"/>
          </w:tcPr>
          <w:p>
            <w:pPr>
              <w:jc w:val="center"/>
              <w:ind w:left="34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261"/>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tcPr>
          <w:p>
            <w:pPr>
              <w:jc w:val="center"/>
              <w:ind w:left="341"/>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261"/>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gains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Treasury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80" w:type="dxa"/>
            <w:vAlign w:val="bottom"/>
          </w:tcPr>
          <w:p>
            <w:pPr>
              <w:spacing w:after="0"/>
              <w:rPr>
                <w:sz w:val="19"/>
                <w:szCs w:val="19"/>
                <w:color w:val="auto"/>
              </w:rPr>
            </w:pPr>
          </w:p>
        </w:tc>
        <w:tc>
          <w:tcPr>
            <w:tcW w:w="1060" w:type="dxa"/>
            <w:vAlign w:val="bottom"/>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14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6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Inventory, net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17,593</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Raw materials, work in process and finished goods were net of adjustments to realizable value of $0.6 million and $1.2 million as of March 31, 2026 and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Construction-in-process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28,268</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23"/>
        </w:trPr>
        <w:tc>
          <w:tcPr>
            <w:tcW w:w="8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$0.7 million for each of the three months ended March 31, 2026 and 2025.</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Borders>
              <w:bottom w:val="single" w:sz="8" w:color="CCEEFF"/>
            </w:tcBorders>
          </w:tcPr>
          <w:p>
            <w:pPr>
              <w:spacing w:after="0"/>
              <w:rPr>
                <w:sz w:val="16"/>
                <w:szCs w:val="16"/>
                <w:color w:val="auto"/>
              </w:rPr>
            </w:pPr>
          </w:p>
        </w:tc>
        <w:tc>
          <w:tcPr>
            <w:tcW w:w="72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 expense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4,796</w:t>
            </w:r>
          </w:p>
        </w:tc>
        <w:tc>
          <w:tcPr>
            <w:tcW w:w="0" w:type="dxa"/>
            <w:vAlign w:val="bottom"/>
          </w:tcPr>
          <w:p>
            <w:pPr>
              <w:spacing w:after="0"/>
              <w:rPr>
                <w:sz w:val="1"/>
                <w:szCs w:val="1"/>
                <w:color w:val="auto"/>
              </w:rPr>
            </w:pPr>
          </w:p>
        </w:tc>
      </w:tr>
      <w:tr>
        <w:trPr>
          <w:trHeight w:val="229"/>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vendor expenses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warranty expense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0"/>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8,316</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Notes payable, net</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Notes payable, net consisted of the following (in thousands):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6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7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related warrant liability</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end of term fee</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41"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On August 8, 2025 (the “Closing Date”), the Company entered into a Loan and Security Agreement (the “LSA”) with the lenders party thereto (the “Lenders”) and Trinity Capital Inc., as administrative agent and collateral agent (the “Agent”).</w:t>
      </w:r>
    </w:p>
    <w:p>
      <w:pPr>
        <w:spacing w:after="0" w:line="189" w:lineRule="exact"/>
        <w:rPr>
          <w:sz w:val="20"/>
          <w:szCs w:val="20"/>
          <w:color w:val="auto"/>
        </w:rPr>
      </w:pPr>
    </w:p>
    <w:p>
      <w:pPr>
        <w:ind w:right="120" w:firstLine="324"/>
        <w:spacing w:after="0" w:line="236" w:lineRule="auto"/>
        <w:rPr>
          <w:sz w:val="20"/>
          <w:szCs w:val="20"/>
          <w:color w:val="auto"/>
        </w:rPr>
      </w:pPr>
      <w:r>
        <w:rPr>
          <w:rFonts w:ascii="Times New Roman" w:cs="Times New Roman" w:eastAsia="Times New Roman" w:hAnsi="Times New Roman"/>
          <w:sz w:val="18"/>
          <w:szCs w:val="18"/>
          <w:color w:val="auto"/>
        </w:rPr>
        <w:t>Under the LSA, the Lenders agreed to extend debt capital to the Company, in the form of a term loan, in tranches totaling an aggregate principal amount of up to $45.0 million available as follows: (a) at closing, an aggregate principal amount of $20.0 million (the “First Tranche”), (b) until January 31, 2027, subject to the achievement of certain commercial and operational milestones, an aggregate principal amount of $10.0 million (the “Second Tranche”), (c) until July 31, 2027, subject to the achievement of certain commercial and operational milestones, an aggregate principal amount of $10.0 million (the “Third Tranche”), and (d) an aggregate principal amount of $5.0 million in Lenders’ sole discretion (the “Fourth Tranche” and collectively with the First Tranche, the Second Tranche and the Third Tranche, the “Tranches”). The obligations of the Lenders to extend such debt capital are subject to certain conditions precedent described in the LSA. The Company is required to pay a commitment fee of 1.0% of the amount drawn, plus related documentation and funding fees, in connection with each drawdown. On the Closing Date, the Company drew down the First Tranche. The Company’s obligations under the facility may be guaranteed by certain subsidiaries and are secured by a first priority security interest in substantially all assets of the Company and any subsidiaries providing a guarantee.</w:t>
      </w:r>
    </w:p>
    <w:p>
      <w:pPr>
        <w:spacing w:after="0" w:line="219"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In connection with the drawdown of any Tranche, the Company is required to issue to the Lenders warrants to purchase shares of the Company’s Class A common stock (the “Common Stock”). The exercise price (“Exercise Price”) for each warrant shall be equal to the lower of (a) the volume-weighted average price of the Common Stock over the ten days prior to the drawdown and (b) the closing price of the Common Stock on the day immediately prior to the drawdown. The number of shares of Common Stock for which each warrant is exercisable is equal to 3.0% of the drawn down amount of the applicable Tranche, divided by the Exercise Price. Each warrant shall have a term of ten years from the date of issuance and shall permit cashless exercise, all in accordance with its terms. In connection with the drawdown of the First Tranche,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 issued warrants to purchase up to an aggregate of 179,104 shares of Common Stock, with an Exercise Price of $3.35 per share. As it relates to the warrants issued for the First Tranche, the Company concluded they meet the requirements for equity classification given the exercise price and number of shares are fixed. As it relates to the subsequent Second and Third tranche, given the strike price is a floating strike price which will not be set until drawn, the Company concluded they should be accounted for as liabilities until drawn.</w:t>
      </w:r>
    </w:p>
    <w:p>
      <w:pPr>
        <w:spacing w:after="0" w:line="208"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All Tranches will mature on September 1, 2030 (the “Maturity Date”), unless earlier accelerated under the terms of the LSA. At maturity, the Company is required to repay the then-outstanding principal amount, together with any accrued and unpaid interest thereon and any other obligations outstanding under the LSA. In addition, at maturity or early termination of the LSA, including acceleration of the loans, the Company is required to pay the Lenders an additional 4.0% of the amounts drawn down by the Company under the LSA (the "End of Term Payment").</w:t>
      </w:r>
    </w:p>
    <w:p>
      <w:pPr>
        <w:spacing w:after="0" w:line="212" w:lineRule="exact"/>
        <w:rPr>
          <w:sz w:val="20"/>
          <w:szCs w:val="20"/>
          <w:color w:val="auto"/>
        </w:rPr>
      </w:pPr>
    </w:p>
    <w:p>
      <w:pPr>
        <w:ind w:right="40" w:firstLine="324"/>
        <w:spacing w:after="0" w:line="239" w:lineRule="auto"/>
        <w:rPr>
          <w:sz w:val="20"/>
          <w:szCs w:val="20"/>
          <w:color w:val="auto"/>
        </w:rPr>
      </w:pPr>
      <w:r>
        <w:rPr>
          <w:rFonts w:ascii="Times New Roman" w:cs="Times New Roman" w:eastAsia="Times New Roman" w:hAnsi="Times New Roman"/>
          <w:sz w:val="18"/>
          <w:szCs w:val="18"/>
          <w:color w:val="auto"/>
        </w:rPr>
        <w:t>Interest accrues on the Tranches that the Company has drawn down at a floating rate per annum, calculated based on a 360-day year, equal to the greater of (a) the sum of (i) The Wall Street Journal Prime Rate and (ii) 4.0%, and (b) 11.0%. The initial interest rate was 11.5% per annum. For the first 36 months after the Closing Date (the “Interest Only Period”), the Company is required to make only monthly payments of interest in arrears. Following such period, and until the Maturity Date (the “Amortization Period”), the Company is required to make monthly payments of principal and interest in an amount that fully amortizes the outstanding principal balance due over the duration of the Amortization Period. If the Second Tranche is fully drawn down by the Company, the Interest Only Period will be extended by six months. If the Third Tranche is fully drawn down by the Company, the Interest Only Period will be extended by a further six months. In the event of such extensions of the Interest Only Period, the duration of the Amortization Period will decrease by the same amount. In any event, the total term of all Tranches shall not exceed 60 months.</w:t>
      </w:r>
    </w:p>
    <w:p>
      <w:pPr>
        <w:spacing w:after="0" w:line="214"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The Company may voluntarily prepay the outstanding loan balance at any time, in whole or in part, subject to the payment of prepayment premiums. If prepayment occurs on or before the first anniversary of the Closing Date, the premium shall equal 3.0% of the principal being repaid. Thereafter, if prepayment occurs on or before the second anniversary of the Closing Date, the premium shall equal 2.0% of the principal being repaid. Thereafter, the premium shall equal 1.0% of the principal being repaid. For the avoidance of doubt, such prepayment premiums are in addition to the End of Term Payment. Additionally, the Company is required to prepay the outstanding loan balance (plus accrued and unpaid interest thereon, any prepayment premiums and any other obligations that are due and payable) upon a sale, divestment or transfer of all or substantially all assets of the Company and its subsidiaries, taken as a whole, or of a material business line of the Company, the acquisition by a person or group of a sufficient number of the Company’s equity securities to elect a majority of the members of the Company’s board of directors, or the acceleration of the loans by the Agent on behalf of the Lenders following an event of default under the LSA.</w:t>
      </w:r>
    </w:p>
    <w:p>
      <w:pPr>
        <w:spacing w:after="0" w:line="212" w:lineRule="exact"/>
        <w:rPr>
          <w:sz w:val="20"/>
          <w:szCs w:val="20"/>
          <w:color w:val="auto"/>
        </w:rPr>
      </w:pPr>
    </w:p>
    <w:p>
      <w:pPr>
        <w:jc w:val="both"/>
        <w:ind w:right="160" w:firstLine="324"/>
        <w:spacing w:after="0" w:line="245" w:lineRule="auto"/>
        <w:rPr>
          <w:sz w:val="20"/>
          <w:szCs w:val="20"/>
          <w:color w:val="auto"/>
        </w:rPr>
      </w:pPr>
      <w:r>
        <w:rPr>
          <w:rFonts w:ascii="Times New Roman" w:cs="Times New Roman" w:eastAsia="Times New Roman" w:hAnsi="Times New Roman"/>
          <w:sz w:val="18"/>
          <w:szCs w:val="18"/>
          <w:color w:val="auto"/>
        </w:rPr>
        <w:t>The LSA contains customary affirmative and negative covenants (imposed on us and our subsidiaries, as applicable), including with respect to notice obligations, limitations on new indebtedness, liens, investments and transactions with affiliates of the Company, restrictions on the payment of dividends, maintenance of collateral and accounts and maintenance of insurance. The LSA does not contain any covenants to maintain a specified level of revenues, profitability, cash flow or cash resources.</w:t>
      </w:r>
    </w:p>
    <w:p>
      <w:pPr>
        <w:spacing w:after="0" w:line="208" w:lineRule="exact"/>
        <w:rPr>
          <w:sz w:val="20"/>
          <w:szCs w:val="20"/>
          <w:color w:val="auto"/>
        </w:rPr>
      </w:pPr>
    </w:p>
    <w:p>
      <w:pPr>
        <w:ind w:right="100" w:firstLine="324"/>
        <w:spacing w:after="0" w:line="245" w:lineRule="auto"/>
        <w:rPr>
          <w:sz w:val="20"/>
          <w:szCs w:val="20"/>
          <w:color w:val="auto"/>
        </w:rPr>
      </w:pPr>
      <w:r>
        <w:rPr>
          <w:rFonts w:ascii="Times New Roman" w:cs="Times New Roman" w:eastAsia="Times New Roman" w:hAnsi="Times New Roman"/>
          <w:sz w:val="18"/>
          <w:szCs w:val="18"/>
          <w:color w:val="auto"/>
        </w:rPr>
        <w:t>The LSA contains customary representations and warranties of the Company, as well as customary events of default, the occurrence of which may accelerate the obligations of the Company, increase the interest rate by a specified default rate and impose other consequences described in the LSA. Such events include among others, failure to make payments when due, breach of covenants, insolvency, a cross-default to other indebtedness, a judgment event of default, the occurrence of a material adverse change to the Company, and delisting of the Company’s securities from Nasdaq.</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there was $20 million outstanding under the LSA and unamortized debt issuance costs of $0.8 million.</w:t>
      </w:r>
    </w:p>
    <w:p>
      <w:pPr>
        <w:spacing w:after="0" w:line="239"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interest rate was 11.0% at March 31, 2026. During the three months ended March 31, 2026, the Company recognized interest expense of $0.6 million, which includes less than $0.1 million of amortization of debt issuance costs.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debt principal payments under the LSA as of March 31, 2026, excluding the $0.8 million end of term fee, are due as follows (in thousands):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Ending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9,795</w:t>
            </w: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9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23"/>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8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0"/>
        </w:trPr>
        <w:tc>
          <w:tcPr>
            <w:tcW w:w="2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Common stock and common stock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both March 31, 2026 and December 31, 2025, the Company’s restated certificate of incorporation authorized the issuance of $0.01 par value Class A and Class B common stock. Each share of Class A common stock entitles the holder to one vote on all matters submitted to a vote of the Company’s stockholders. The Company’s Class B common stock is non-voting. Class A and Class B common stockholders are entitled to receive dividends, as may be declared by the board of directors, if any, subject to the preferential dividend rights of Preferred Stock. As of March 31, 2026, no cash dividends had been declared or paid.</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a related party warrant holder net exercised warrants into 621,293 shares of Class A common stock pursuant to the terms of the underlying warrant agreements. Following the conversion, the total number of Class A warrants outstanding decreased by 629,032, and the total number of Class A shares outstanding increased by 621,293 shares.</w:t>
      </w:r>
    </w:p>
    <w:p>
      <w:pPr>
        <w:spacing w:after="0" w:line="17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On December 15, 2023, the Company entered into an ATM Agreement with Cowen, pursuant to which the Company may issue and sell shares of its Class A common stock having aggregate sales proceeds of up to $50 million from time to time through Cowen, acting as sales agent and/or principal. The prospectus filed by the Company related to the ATM Agreement permits the issuance and sale of up to $10 million of shares of Class A common stock from time to time. The Company agreed to pay Cowen a commission of up to 3.0% of the gross proceeds from any sales of shares of its Class A common stock under this facility. During the year ended December 31, 2025, we sold 113,217 shares of Class A common stock under this facility resulting in net proceeds of $0.4 million. During the quarter ended March 31, 2026, we did not issue or sell any shares of our Class A common stock under this facility.</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reserved 30,798,624 shares of Class A common stock for the exercise of outstanding stock options and warrants, vesting of restricted stock units, the number of shares remaining available for grant under the Company’s 2021 Incentive Award Plan (see Note 11), the number of shares available for purchase under the Company’s Employee Stock Purchase Plan (see Note 11) and the conversion of Class B common stock.</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quarter ended March 31, 2026, 5,009 warrants to purchase Class A common stock expired.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warrants to purchase common stock consisted of the following at March 31, 2026:</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r>
      <w:tr>
        <w:trPr>
          <w:trHeight w:val="20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3"/>
        </w:trPr>
        <w:tc>
          <w:tcPr>
            <w:tcW w:w="4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2"/>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8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24, 2017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12, 2018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14, 2021 *</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2025</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8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Outstanding warrants to purchase common stock consisted of the following at December 31, 2025:</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r>
      <w:tr>
        <w:trPr>
          <w:trHeight w:val="217"/>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r>
      <w:tr>
        <w:trPr>
          <w:trHeight w:val="23"/>
        </w:trPr>
        <w:tc>
          <w:tcPr>
            <w:tcW w:w="4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2"/>
        </w:trPr>
        <w:tc>
          <w:tcPr>
            <w:tcW w:w="4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8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24, 2017</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12, 2018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14, 2021 *</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r>
        <w:trPr>
          <w:trHeight w:val="27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8, 2025</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issuable upon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warrant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37"/>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298.96</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346,077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70"/>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1"/>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issuable upon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204"/>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 warrant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37"/>
        </w:trPr>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298.96</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975,109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0"/>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179,104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00" w:space="80"/>
            <w:col w:w="3060"/>
          </w:cols>
          <w:pgMar w:left="320" w:top="121" w:right="339" w:bottom="1440" w:gutter="0" w:footer="0" w:header="0"/>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40" w:right="240" w:hanging="332"/>
        <w:spacing w:after="0" w:line="25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Company's IPO, preferred stock warrants were automatically converted to Class A common stock warrants. The contractual term of the converted Class A common stock warrants remained consistent with the original term of the preferred stock warrants, with original issue dates between 2017-2020.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2010 Stock Option and Grant Plan</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Company’s 2010 Stock Option and Grant Plan (the “2010 Plan”) provided for the Company to grant incentive stock options or nonqualified stock options, restricted stock awards and other stock-based awards to employees, officers, directors and consultants of the Company.</w:t>
      </w:r>
    </w:p>
    <w:p>
      <w:pPr>
        <w:spacing w:after="0" w:line="16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Following the effectiveness of the Company's IPO in July 2021, no additional awards are being granted under the 2010 Plan and shares of existing outstanding options that were issued under the 2010 Plan and are forfeited or canceled are available for grant under the 2021 Incentive Award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Incentive Award Plan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July 2021, the Board of Directors adopted, and the Company’s stockholders approved, the 2021 Incentive Award Plan (the “2021 Plan”). The 2021 Plan provides for the grant of stock options, including incentive stock options and non-qualified stock options, stock appreciation rights, restricted stock, restricted stock units, and other stock-based and cash-based awards. The 2021 Plan has a term of ten years. The aggregate number of shares of Class A common stock available for issuance under the 2021 Plan is equal to the sum of (i) 4,200,000 shares; (ii) any shares which are subject to the 2010 Plan awards that become available for issuance under the 2021 Plan; and (iii) an annual increase for ten years on the first day of each calendar year beginning on January 1, 2022, equal to the lesser of (A) 5% of the aggregate number of shares of Class A common stock outstanding on the last day of the immediately preceding calendar year and (B) such smaller amount of shares as determined by the Board of Directors. No more than 33,900,000 shares of Class A common stock may be issued under the 2021 Plan upon the exercise of incentive stock options. As of March 31, 2026, there were 5,532,659 shares available for issuance under the 2021 Plan.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Inducement Plan</w:t>
      </w:r>
    </w:p>
    <w:p>
      <w:pPr>
        <w:spacing w:after="0" w:line="25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May 2023, the Company's board of directors adopted the 2023 Inducement Plan (the “Inducement Plan”) pursuant to which the Company reserved 330,000 shares of Class A common stock to be used exclusively for grants of equity-based awards to individuals who were not previously employees or directors of the Company as an inducement material to the individual’s entry into employment with the Company within the meaning of Rule 5635(c)(4) of The Nasdaq Listing Rules. The Inducement Plan provides for the grant of equity-based awards in the form of nonstatutory stock options, stock appreciation rights, restricted stock awards, restricted stock unit awards, and dividend equivalent rights. The Inducement Plan was adopted by the Company's board of directors without stockholder approval pursuant to Rule 5635(c)(4) of the Nasdaq Listing Rules. In February and May 2025, the Company amended the Inducement Plan to reserve an additional 476,000 and 442,987 shares, respectively, of its Class A common stock. In January 2026, the Company amended the Inducement Plan to reserve an additional 1,000,000 shares of its Class A common stock. The amendments were adopted by the Company's board of directors, without stockholder approval pursuant to Rule 5635(c)(4) of The Nasdaq Listing Rules. As of March 31, 2026, 1,287,000 shares were available for future issuance under the Inducement Plan.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w:t>
      </w:r>
    </w:p>
    <w:p>
      <w:pPr>
        <w:spacing w:after="0" w:line="19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3.9 %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9"/>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43.0 %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34"/>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5"/>
        </w:trPr>
        <w:tc>
          <w:tcPr>
            <w:tcW w:w="4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780" w:type="dxa"/>
            <w:vAlign w:val="bottom"/>
          </w:tcPr>
          <w:p>
            <w:pPr>
              <w:spacing w:after="0"/>
              <w:rPr>
                <w:sz w:val="14"/>
                <w:szCs w:val="14"/>
                <w:color w:val="auto"/>
              </w:rPr>
            </w:pPr>
          </w:p>
        </w:tc>
        <w:tc>
          <w:tcPr>
            <w:tcW w:w="14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04"/>
        </w:trPr>
        <w:tc>
          <w:tcPr>
            <w:tcW w:w="4780" w:type="dxa"/>
            <w:vAlign w:val="bottom"/>
          </w:tcPr>
          <w:p>
            <w:pPr>
              <w:spacing w:after="0"/>
              <w:rPr>
                <w:sz w:val="17"/>
                <w:szCs w:val="17"/>
                <w:color w:val="auto"/>
              </w:rPr>
            </w:pPr>
          </w:p>
        </w:tc>
        <w:tc>
          <w:tcPr>
            <w:tcW w:w="14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00" w:type="dxa"/>
            <w:vAlign w:val="bottom"/>
          </w:tcPr>
          <w:p>
            <w:pPr>
              <w:spacing w:after="0"/>
              <w:rPr>
                <w:sz w:val="17"/>
                <w:szCs w:val="17"/>
                <w:color w:val="auto"/>
              </w:rPr>
            </w:pPr>
          </w:p>
        </w:tc>
        <w:tc>
          <w:tcPr>
            <w:tcW w:w="12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37"/>
        </w:trPr>
        <w:tc>
          <w:tcPr>
            <w:tcW w:w="47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9"/>
        </w:trPr>
        <w:tc>
          <w:tcPr>
            <w:tcW w:w="4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(in thousands)</w:t>
            </w:r>
          </w:p>
        </w:tc>
      </w:tr>
      <w:tr>
        <w:trPr>
          <w:trHeight w:val="237"/>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6,539,263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7,668,949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r>
      <w:tr>
        <w:trPr>
          <w:trHeight w:val="143"/>
        </w:trPr>
        <w:tc>
          <w:tcPr>
            <w:tcW w:w="4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Options vested and expected to vest as of</w:t>
            </w: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7,668,949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5,413</w:t>
            </w: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5,028,347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w:t>
            </w:r>
          </w:p>
        </w:tc>
      </w:tr>
    </w:tbl>
    <w:p>
      <w:pPr>
        <w:spacing w:after="0" w:line="274"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Class A common stock for those options that had exercise prices lower than such fair value.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intrinsic value of stock options exercised during the three months ended March 31, 2026 and 2025 was $0.2 million and $0.3 million, respectively.</w:t>
      </w:r>
    </w:p>
    <w:p>
      <w:pPr>
        <w:spacing w:after="0" w:line="237"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grant-date fair value per share of stock options granted during the three months ended March 31, 2026 and 2025 was $1.98 and $1.79, respectively.</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Restricted stock unit grants typically have service-based vesting terms from one to three years. Vesting occurs annually on the anniversary of the grant date. During the three months ended March 31, 2026, the Company granted restricted stock units with service-based vesting conditions only. The Company expenses the fair value of the restricted stock units over the vesting period and accounts for forfeitures prospectively as they occur.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units activity since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5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 date fair</w:t>
            </w:r>
          </w:p>
        </w:tc>
        <w:tc>
          <w:tcPr>
            <w:tcW w:w="0" w:type="dxa"/>
            <w:vAlign w:val="bottom"/>
          </w:tcPr>
          <w:p>
            <w:pPr>
              <w:spacing w:after="0"/>
              <w:rPr>
                <w:sz w:val="1"/>
                <w:szCs w:val="1"/>
                <w:color w:val="auto"/>
              </w:rPr>
            </w:pPr>
          </w:p>
        </w:tc>
      </w:tr>
      <w:tr>
        <w:trPr>
          <w:trHeight w:val="198"/>
        </w:trPr>
        <w:tc>
          <w:tcPr>
            <w:tcW w:w="81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7"/>
                <w:szCs w:val="17"/>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95"/>
        </w:trPr>
        <w:tc>
          <w:tcPr>
            <w:tcW w:w="81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2,795,976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3,040,189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grant-date fair value per share of restricted stock units granted during each of the three months ended March 31, 2026 and 2025 was $4.18 and $3.50. The total fair value of shares vested during the three months ended March 31, 2026 and 2025 was $2.1 million and $0.9 million,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July 2021, the board of directors adopted, and the Company’s stockholders approved, the 2021 Employee Stock Purchase Plan (the “2021 ESPP”), which became effective in connection with the IPO of Class A common stock. The aggregate number of shares of Class A common stock available for issuance under the 2021 ESPP is equal to (i) 400,000 shares and (ii) an annual increase for ten years on the first day of each calendar year beginning on January 1, 2022, equal to the lesser of (A) 1% of the aggregate number of shares of Class A common stock outstanding on the last day of the immediately preceding calendar year and (B) such smaller amount of shares as determined by the board of directors. No more than 6,300,000 shares of Class A common stock may be issued under the 2021 ESPP.</w:t>
      </w:r>
    </w:p>
    <w:p>
      <w:pPr>
        <w:spacing w:after="0" w:line="18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Under the 2021 ESPP, eligible employees may purchase shares of the Company’s common stock through payroll deductions of up to 15% of eligible compensation during an offering period. Generally, each offering period will be for 6 months as determined by the Company's board of directors. In no event may an employee purchase more than 100,000 shares per offering period based on the closing price on the first trading date of an offering period or the last trading date of an offering period, or more than $25,000 worth of stock during any calendar year. The purchase price for shares to be purchased under the 2021 ESPP is 85% of the lesser of the market price of the Company's common stock on the first trading date of an offering period or on any purchase date during an offering period (March 14 or September 14).</w:t>
      </w:r>
    </w:p>
    <w:p>
      <w:pPr>
        <w:spacing w:after="0" w:line="187"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58,182 shares of Class A common stock purchased under the 2021 ESPP. The Company recognized less than $0.1 million of expense related to the 2021 ESPP for each of three months ended March 31, 2026 and 2025. As of March 31, 2026, 1,511,651 shares were available for future issuance under the 2021 ESPP.</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40"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shares issued to employees under the 2021 ESPP using the Black-Scholes option-pricing model. The following weighted average assumptions were used in the calculation of fair value of shares under the 2021 ESPP at the grant date for both the three months ended March 31, 2026 and 2025:</w:t>
      </w:r>
    </w:p>
    <w:p>
      <w:pPr>
        <w:spacing w:after="0" w:line="21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stock options held by employees and directors was $4.1 million, which is expected to be recognized over a weighted average period of 1.7 years. Additionally, unrecognized compensation expense related to unvested restricted stock units held by employees and directors was $7.1 million, which is expected to be recognized over a weighted average period of 1.2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both the three months ended March 31, 2026 and 2025, the pretax losses incurred by the Company, as well as the research and development tax credits generated, received no corresponding tax benefit because the Company concluded that it is more likely than not that the Company will be unable to realize the value of any resulting deferred tax assets. The Company will continue to assess its position in future periods to determine if it is appropriate to reduce a portion of its valuation allowance.</w:t>
      </w:r>
    </w:p>
    <w:p>
      <w:pPr>
        <w:spacing w:after="0" w:line="180" w:lineRule="exact"/>
        <w:rPr>
          <w:sz w:val="20"/>
          <w:szCs w:val="20"/>
          <w:color w:val="auto"/>
        </w:rPr>
      </w:pPr>
    </w:p>
    <w:p>
      <w:pPr>
        <w:ind w:right="220" w:firstLine="324"/>
        <w:spacing w:after="0" w:line="312" w:lineRule="auto"/>
        <w:rPr>
          <w:sz w:val="20"/>
          <w:szCs w:val="20"/>
          <w:color w:val="auto"/>
        </w:rPr>
      </w:pPr>
      <w:r>
        <w:rPr>
          <w:rFonts w:ascii="Times New Roman" w:cs="Times New Roman" w:eastAsia="Times New Roman" w:hAnsi="Times New Roman"/>
          <w:sz w:val="17"/>
          <w:szCs w:val="17"/>
          <w:color w:val="auto"/>
        </w:rPr>
        <w:t>The Company’s tax provision and the resulting effective tax rate for interim periods is determined based upon its estimated annual effective tax rate, adjusted for the effect of discrete items arising in that quarter. The income tax provision was generated from operations in Germany and Switzerland.</w:t>
      </w:r>
    </w:p>
    <w:p>
      <w:pPr>
        <w:spacing w:after="0" w:line="14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impact of such discrete items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both March 31, 2026 and December 31, 2025, the Company recorded a full valuation allowance against its net deferred tax assets.</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the jurisdictions in which it operates. In the normal course of business, the Company is subject to examination by U.S. federal, state and international jurisdictions,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where applicable. There are currently no pending tax examinations in the U.S., and the Company has not received notice of examination from any jurisdictions in the U.S.</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(“OBBB”) Act, introducing significant amendments to the U.S. Internal Revenue Code. The amendments include the permanent extension of certain individual, business, and international tax measures initially established under the 2017 Tax Cuts and Jobs Act, which were set to expire at the end of 2025.</w:t>
      </w:r>
    </w:p>
    <w:p>
      <w:pPr>
        <w:spacing w:after="0" w:line="176"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OBBB permanently extends the 100% bonus depreciation of qualifying assets which is expected to accelerate the timing of depreciation deductions for these assets. The OBBB also permanently eliminates the requirement under Internal Revenue Code Section 174 to capitalize and amortize U.S.-based research and experimental expenditures over five years, making these expenditures fully deductible in the period incurred. The legislation did not have a material impact on the Company’s income tax expense for 2025, or for the period ended March 31, 2026, as the Company did not elect bonus depreciation.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the common stockholders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Class A common stock and Class B common stock. Both share classes have the same rights to the Company’s earnings and neither of the classes have any prior or senior rights to dividends to the other share class.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Basic and diluted net loss per share was calculated as follows (in thousands, except share and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(11,263)</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7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Class A common shares outstanding—basic and diluted</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40,934,271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39,052,830</w:t>
            </w:r>
          </w:p>
        </w:tc>
      </w:tr>
      <w:tr>
        <w:trPr>
          <w:trHeight w:val="27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Class B common shares outstanding—basic and diluted</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4,499,529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4,940,529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shares for EPS—basic and diluted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45,433,800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43,993,359</w:t>
            </w:r>
          </w:p>
        </w:tc>
      </w:tr>
      <w:tr>
        <w:trPr>
          <w:trHeight w:val="27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Class A common stockholders—basic and 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7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Class B common stockholders—basic and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bl>
    <w:p>
      <w:pPr>
        <w:spacing w:after="0" w:line="2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stock options, restricted stock units, and common stock warrants, have been excluded from the computation of diluted net loss per share as the effect would be to reduce the net loss per share. Therefore, the weighted-average number of common shares outstanding used to calculate both basic and diluted net loss per share is the same. 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0" w:type="dxa"/>
            <w:vAlign w:val="bottom"/>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tcPr>
          <w:p>
            <w:pPr>
              <w:spacing w:after="0"/>
              <w:rPr>
                <w:sz w:val="2"/>
                <w:szCs w:val="2"/>
                <w:color w:val="auto"/>
              </w:rPr>
            </w:pPr>
          </w:p>
        </w:tc>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0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6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7,668,949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6,953,726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3,040,189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2,631,900</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5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284,165</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under ESPP</w:t>
            </w:r>
          </w:p>
        </w:tc>
        <w:tc>
          <w:tcPr>
            <w:tcW w:w="5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spacing w:after="0"/>
              <w:rPr>
                <w:sz w:val="21"/>
                <w:szCs w:val="21"/>
                <w:color w:val="auto"/>
              </w:rPr>
            </w:pPr>
          </w:p>
        </w:tc>
        <w:tc>
          <w:tcPr>
            <w:tcW w:w="36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9,883,235</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30</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50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229" w:lineRule="exact"/>
        <w:rPr>
          <w:sz w:val="20"/>
          <w:szCs w:val="20"/>
          <w:color w:val="auto"/>
        </w:rPr>
      </w:pPr>
    </w:p>
    <w:p>
      <w:pPr>
        <w:jc w:val="both"/>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which is the date on which the terms of the contract are agreed to, and the agreement creates enforceable rights and obligations. Under ASC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170" w:lineRule="exact"/>
        <w:rPr>
          <w:sz w:val="20"/>
          <w:szCs w:val="20"/>
          <w:color w:val="auto"/>
        </w:rPr>
      </w:pPr>
    </w:p>
    <w:p>
      <w:pPr>
        <w:jc w:val="both"/>
        <w:ind w:right="120" w:firstLine="324"/>
        <w:spacing w:after="0" w:line="241" w:lineRule="auto"/>
        <w:rPr>
          <w:sz w:val="20"/>
          <w:szCs w:val="20"/>
          <w:color w:val="auto"/>
        </w:rPr>
      </w:pPr>
      <w:r>
        <w:rPr>
          <w:rFonts w:ascii="Times New Roman" w:cs="Times New Roman" w:eastAsia="Times New Roman" w:hAnsi="Times New Roman"/>
          <w:sz w:val="18"/>
          <w:szCs w:val="18"/>
          <w:color w:val="auto"/>
        </w:rPr>
        <w:t>The Company made an accounting policy election not to recognize right-of-use ("ROU") assets and lease liabilities for leases with a term of twelve months or less. For all other leases, the Company recognizes ROU assets and lease liabilities based on the present value of lease payments over the lease term at the commencement date of the lease. Lease payments may include fixed rent escalation clauses or payments that depend on an index (such as the consumer price index). Subsequent changes to an index and any other periodic market-rate adjustments to base rent are recorded in variable lease expense in the period incurred. The ROU assets also include any initial direct costs incurred and lease payments made at or before the commencement date and are reduced by any lease incentives.</w:t>
      </w:r>
    </w:p>
    <w:p>
      <w:pPr>
        <w:spacing w:after="0" w:line="211" w:lineRule="exact"/>
        <w:rPr>
          <w:sz w:val="20"/>
          <w:szCs w:val="20"/>
          <w:color w:val="auto"/>
        </w:rPr>
      </w:pPr>
    </w:p>
    <w:p>
      <w:pPr>
        <w:ind w:right="40" w:firstLine="324"/>
        <w:spacing w:after="0" w:line="242" w:lineRule="auto"/>
        <w:rPr>
          <w:sz w:val="20"/>
          <w:szCs w:val="20"/>
          <w:color w:val="auto"/>
        </w:rPr>
      </w:pPr>
      <w:r>
        <w:rPr>
          <w:rFonts w:ascii="Times New Roman" w:cs="Times New Roman" w:eastAsia="Times New Roman" w:hAnsi="Times New Roman"/>
          <w:sz w:val="18"/>
          <w:szCs w:val="18"/>
          <w:color w:val="auto"/>
        </w:rPr>
        <w:t>The Company has made an accounting policy election to account for lease and non-lease components in its contracts as single lease components for all asset classes. The non-lease components typically represent additional services transferred to the Company, such as common area maintenance for real estate, which are variable in nature and recorded in variable lease expense in the period incurred.</w:t>
      </w:r>
    </w:p>
    <w:p>
      <w:pPr>
        <w:spacing w:after="0" w:line="211" w:lineRule="exact"/>
        <w:rPr>
          <w:sz w:val="20"/>
          <w:szCs w:val="20"/>
          <w:color w:val="auto"/>
        </w:rPr>
      </w:pPr>
    </w:p>
    <w:p>
      <w:pPr>
        <w:ind w:right="60" w:firstLine="324"/>
        <w:spacing w:after="0" w:line="241" w:lineRule="auto"/>
        <w:rPr>
          <w:sz w:val="20"/>
          <w:szCs w:val="20"/>
          <w:color w:val="auto"/>
        </w:rPr>
      </w:pPr>
      <w:r>
        <w:rPr>
          <w:rFonts w:ascii="Times New Roman" w:cs="Times New Roman" w:eastAsia="Times New Roman" w:hAnsi="Times New Roman"/>
          <w:sz w:val="18"/>
          <w:szCs w:val="18"/>
          <w:color w:val="auto"/>
        </w:rPr>
        <w:t>The Company uses its incremental borrowing rate which is the rate of interest the Company would have to pay to borrow on a collateralized basis over a similar term and amount in a similar economic environment to determine the present value of lease payments as the Company’s leases do not have a readily determinable implicit discount rate. Judgment is applied in assessing factors such as Company specific credit risk, lease term, nature, and quality of the underlying collateral, currency, and economic environment in determining the incremental borrowing rate to apply to each lease. Although the Company has entered into new debt arrangements with different interest rates, such changes do not impact the incremental borrowing rates applied to existing leases, as those rates are established at lease commencement and are not subsequently updated unless a lease is modified or remeasured.</w:t>
      </w:r>
    </w:p>
    <w:p>
      <w:pPr>
        <w:spacing w:after="0" w:line="19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leases office and manufacturing space under operating lease agreements that have initial terms ranging from approximately 8 to 10 years. The Company leases furniture under a financing lease agreement that has an initial term of approximately 8 years. The furniture financing lease agreement is immaterial to the Company's condensed consolidated financial statements. Some leases include one or more options to renew, generally at the Company's sole discretion, with renewal terms that can extend the lease term by up to 5 years. In addition, certain leases contain termination options, where the rights to terminate are held by either the Company, the lessor, or both parties. Options to extend a lease are included in the lease term when it is reasonably certain that the Company will exercise the option. Options to terminate a lease are excluded from the lease term when it is reasonably certain that the Company will not exercise the option. The Company’s leases generally do not contain any material restrictive covenants or residual value guarantees.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2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2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2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outflows - payments on operating leases</w:t>
            </w:r>
          </w:p>
        </w:tc>
        <w:tc>
          <w:tcPr>
            <w:tcW w:w="3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outflows - payments on financing leases</w:t>
            </w:r>
          </w:p>
        </w:tc>
        <w:tc>
          <w:tcPr>
            <w:tcW w:w="3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cash outflows - payments on financing leases</w:t>
            </w:r>
          </w:p>
        </w:tc>
        <w:tc>
          <w:tcPr>
            <w:tcW w:w="3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900"/>
        </w:trPr>
        <w:tc>
          <w:tcPr>
            <w:tcW w:w="5200" w:type="dxa"/>
            <w:vAlign w:val="bottom"/>
          </w:tcPr>
          <w:p>
            <w:pPr>
              <w:spacing w:after="0"/>
              <w:rPr>
                <w:sz w:val="24"/>
                <w:szCs w:val="24"/>
                <w:color w:val="auto"/>
              </w:rPr>
            </w:pPr>
          </w:p>
        </w:tc>
        <w:tc>
          <w:tcPr>
            <w:tcW w:w="298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520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operating and financing leases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7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3,981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3,213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4,479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4,785</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 furniture and fixtures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7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financing leases (in years):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financing leases: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527"/>
        </w:trPr>
        <w:tc>
          <w:tcPr>
            <w:tcW w:w="7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 cost - amortization of right-of-use asset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 cost - interest on lease liability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Operating lease cost is recognized on a straight-line basis over the lease term. Total rent expense, including the Company’s share of the lessors’ operating expenses, was $0.5 million for each of the three months ended March 31, 2026 and 2025. Financing lease cost includes asset amortization on a straight-line basis over the lease term and interest accretion calculated using the effective interest method. Total financing lease asset depreciation and interest expense was less than $0.1 million for each of the three months ended March 31, 2026 and 2025.</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the Company’s operating lease liabilities as of March 31, 2026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0" w:type="dxa"/>
            <w:vAlign w:val="bottom"/>
          </w:tcPr>
          <w:p>
            <w:pPr>
              <w:spacing w:after="0"/>
              <w:rPr>
                <w:sz w:val="1"/>
                <w:szCs w:val="1"/>
                <w:color w:val="auto"/>
              </w:rPr>
            </w:pPr>
          </w:p>
        </w:tc>
      </w:tr>
      <w:tr>
        <w:trPr>
          <w:trHeight w:val="195"/>
        </w:trPr>
        <w:tc>
          <w:tcPr>
            <w:tcW w:w="4620" w:type="dxa"/>
            <w:vAlign w:val="bottom"/>
            <w:tcBorders>
              <w:bottom w:val="single" w:sz="8" w:color="CCEEFF"/>
            </w:tcBorders>
          </w:tcPr>
          <w:p>
            <w:pPr>
              <w:spacing w:after="0"/>
              <w:rPr>
                <w:sz w:val="16"/>
                <w:szCs w:val="16"/>
                <w:color w:val="auto"/>
              </w:rPr>
            </w:pPr>
          </w:p>
        </w:tc>
        <w:tc>
          <w:tcPr>
            <w:tcW w:w="5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w:t>
            </w:r>
          </w:p>
        </w:tc>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5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620" w:type="dxa"/>
            <w:vAlign w:val="bottom"/>
            <w:tcBorders>
              <w:bottom w:val="single" w:sz="8" w:color="CCEEFF"/>
            </w:tcBorders>
            <w:vMerge w:val="continue"/>
          </w:tcPr>
          <w:p>
            <w:pPr>
              <w:spacing w:after="0"/>
              <w:rPr>
                <w:sz w:val="17"/>
                <w:szCs w:val="17"/>
                <w:color w:val="auto"/>
              </w:rPr>
            </w:pPr>
          </w:p>
        </w:tc>
        <w:tc>
          <w:tcPr>
            <w:tcW w:w="5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5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62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620" w:type="dxa"/>
            <w:vAlign w:val="bottom"/>
            <w:tcBorders>
              <w:bottom w:val="single" w:sz="8" w:color="9A9A9A"/>
            </w:tcBorders>
          </w:tcPr>
          <w:p>
            <w:pPr>
              <w:spacing w:after="0"/>
              <w:rPr>
                <w:sz w:val="8"/>
                <w:szCs w:val="8"/>
                <w:color w:val="auto"/>
              </w:rPr>
            </w:pPr>
          </w:p>
        </w:tc>
        <w:tc>
          <w:tcPr>
            <w:tcW w:w="5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the Company’s financing lease liability as of March 31, 2026 were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Financing Lease</w:t>
            </w:r>
          </w:p>
        </w:tc>
        <w:tc>
          <w:tcPr>
            <w:tcW w:w="0" w:type="dxa"/>
            <w:vAlign w:val="bottom"/>
          </w:tcPr>
          <w:p>
            <w:pPr>
              <w:spacing w:after="0"/>
              <w:rPr>
                <w:sz w:val="1"/>
                <w:szCs w:val="1"/>
                <w:color w:val="auto"/>
              </w:rPr>
            </w:pPr>
          </w:p>
        </w:tc>
      </w:tr>
      <w:tr>
        <w:trPr>
          <w:trHeight w:val="195"/>
        </w:trPr>
        <w:tc>
          <w:tcPr>
            <w:tcW w:w="97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22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(excluding the three months ended March 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8"/>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agreements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has entered, and may in the future enter, into agreements with suppliers that may require the Company to purchase or pay minimum or fixed amounts over the duration of the agreement. The Company currently has minimum purchase commitments of</w:t>
      </w:r>
    </w:p>
    <w:p>
      <w:pPr>
        <w:ind w:right="300"/>
        <w:spacing w:after="0" w:line="260" w:lineRule="auto"/>
        <w:rPr>
          <w:sz w:val="20"/>
          <w:szCs w:val="20"/>
          <w:color w:val="auto"/>
        </w:rPr>
      </w:pPr>
      <w:r>
        <w:rPr>
          <w:rFonts w:ascii="Times New Roman" w:cs="Times New Roman" w:eastAsia="Times New Roman" w:hAnsi="Times New Roman"/>
          <w:sz w:val="18"/>
          <w:szCs w:val="18"/>
          <w:color w:val="auto"/>
        </w:rPr>
        <w:t>$2.1 million and $2.3 million expected to be incurred for the remainder of 2026 and 2027, respectively, under such agreements. These commitments are accrued as a liability when it is probable that a related future expenditure will be made, and such expenditure can be reasonably estimated.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customers,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certain of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has not accrued any liabilities related to such obligations in its condensed consolidated financial statements as of March 31, 2026 and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legal proceedings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Benefit plans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savings plan under Section 401(k) of the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contributions of $0.5 million and $0.2 million to the plan during the three months ended March 31, 2026 and 2025,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condensed financial statements and the related notes appearing elsewhere in this Quarterly Report on Form 10-Q and our audited Consolidated Financial Statements and related notes thereto for the year ended December 31, 2025, included in the Annual Report on Form 10-K for the fiscal year ended December 31, 2025, filed with the SEC on March 12, 2026 (the “2025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are an innovative life sciences technology company that enables the safe and efficient manufacture of pharmaceutical products through our rapid automated microbial quality control ("MQC") detection platform. We develop, manufacture, market and sell the Growth Direct system and related proprietary consumables, and value-added services to enable rapid MQC testing in the manufacture of biologics and cell and gene therapies, vaccines, sterile injectables, and other healthcare products. Our system delivers the power of industrial automation to bioprocessing and pharmaceutical manufacturing firms by modernizing and digitizing their MQC operations. Our Growth Direct platform, developed with over 15 years of active feedback from our customers, was purpose-built to meet the growing demands posed by the increasing scale, complexity, and regulatory scrutiny confronting global pharmaceutical manufacturing. Our Growth Direct platform comprises the Growth Direct system, optional laboratory information management system ("LIMS") connection software (which the majority of our customers purchase), proprietary consumables, and comprehensive field service, validation services and post-warranty service contracts. Once embedded and validated in our customers’ facilities, our Growth Direct platform provides for recurring revenues through ongoing sales of consumables and service contracts.</w:t>
      </w:r>
    </w:p>
    <w:p>
      <w:pPr>
        <w:spacing w:after="0" w:line="194"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Our technology fully automates and digitizes the process of pharmaceutical MQC and is designed to enable our customers to perform this critical testing process more efficiently, accurately, and securely. Our Growth Direct platform accelerates time to results by 50% or more compared to the traditional method, and reduces MQC testing to a simple two-step workflow, eliminating up to 85% of the manual steps of traditional MQC, generating significant time, operational, and cost savings for our customers. We seek to establish the Growth Direct as the trusted global standard in automated MQC by delivering the speed, accuracy, security, and data integrity compliance that our customers depend on to ensure patient safety and consistent drug supply.</w:t>
      </w:r>
    </w:p>
    <w:p>
      <w:pPr>
        <w:spacing w:after="0" w:line="168"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Since our inception, we have devoted a majority of our resources to designing, developing, and building our proprietary Growth Direct platform and associated products, launching our Growth Direct platform commercially, expanding our sales and marketing infrastructure to grow our sales, building global customer service and support teams to deliver our value-added services, investing in robust manufacturing and supply chain operations to serve our customers globally, and providing general and administrative support for these operations. Prior to our initial public offering ("IPO"), we funded our operations primarily with proceeds from sales of preferred stock, borrowings under loan agreements and product and service sales, as well as our cost-reimbursement contract with the U.S. Department of Health and Human Services Biomedical Advanced Research &amp; Development Authority.</w:t>
      </w:r>
    </w:p>
    <w:p>
      <w:pPr>
        <w:spacing w:after="0" w:line="18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generated revenue of $8.0 million and $7.2 million for the three months ended March 31, 2026 and 2025, respectively, and incurred net losses of $14.3 million and $11.3 million for those same periods, respectively.</w:t>
      </w:r>
    </w:p>
    <w:p>
      <w:pPr>
        <w:spacing w:after="0" w:line="40"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We believe that our cash, cash equivalents and investments as of March 31, 2026 and additional borrowing capacity expected to become under the LSA that is subject to the satisfaction of certain commercial and operational milestones and other conditions later this year enable us to fund our operating expenses and capital expenditure requirements for at least 12 months following the issuance date of the unaudited interim condensed consolidated financial statements contained in this Quarterly Report on Form 10-Q for the quarter ended March 31, 2026. We have based this estimate on assumptions that may prove to be wrong, and we could exhaust our available capital resources sooner than we expect. See “Liquidity and Capital Resources.”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MilliporeSigma partnership</w:t>
      </w:r>
    </w:p>
    <w:p>
      <w:pPr>
        <w:spacing w:after="0" w:line="108"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In February 2025, we entered into a Distribution and Collaboration Agreement (the “Distribution Agreement”) with Millipore S.A.S., a subsidiary of the Life Science business of Merck KGaA, Darmstadt, Germany, which operates in the</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8"/>
          <w:szCs w:val="18"/>
          <w:color w:val="auto"/>
        </w:rPr>
        <w:t>U.S. as MilliporeSigma ("MilliporeSigma”). Pursuant to the Distribution Agreement, we granted MilliporeSigma a global, co-exclusive right to sell our products, initially consisting of our Growth Direct systems and related consumables, into all fields related to industrial quality control applications in the pharmaceutical, medical device, personal care, cosmetics and food and beverage spaces in all regions of the world. During the term of the Distribution Agreement, MilliporeSigma will receive tier-based transfer pricing on such products. We will continue to directly market, sell, manufacture and distribute our products and provide all services to customers, including in respect of system installation, validation, maintenance and support.</w:t>
      </w:r>
    </w:p>
    <w:p>
      <w:pPr>
        <w:spacing w:after="0" w:line="212" w:lineRule="exact"/>
        <w:rPr>
          <w:sz w:val="20"/>
          <w:szCs w:val="20"/>
          <w:color w:val="auto"/>
        </w:rPr>
      </w:pPr>
    </w:p>
    <w:p>
      <w:pPr>
        <w:ind w:right="120" w:firstLine="324"/>
        <w:spacing w:after="0" w:line="239" w:lineRule="auto"/>
        <w:rPr>
          <w:sz w:val="20"/>
          <w:szCs w:val="20"/>
          <w:color w:val="auto"/>
        </w:rPr>
      </w:pPr>
      <w:r>
        <w:rPr>
          <w:rFonts w:ascii="Times New Roman" w:cs="Times New Roman" w:eastAsia="Times New Roman" w:hAnsi="Times New Roman"/>
          <w:sz w:val="18"/>
          <w:szCs w:val="18"/>
          <w:color w:val="auto"/>
        </w:rPr>
        <w:t>Over the first two years of the Distribution Agreement, MilliporeSigma has committed to purchase a minimum number of Growth Direct systems. Thereafter, we and MilliporeSigma will evaluate and mutually agree on additional purchase commitments, if any. Pursuant to the Distribution Agreement, we are permitted to continue to sell our products independently and through our existing distributors, but we may not grant the right to sell the products covered by the Distribution Agreement to other third parties so long as a purchase commitment by MilliporeSigma is in place. The initial term of the Distribution Agreement is five years, unless earlier terminated by us or MilliporeSigma in accordance with its terms.</w:t>
      </w:r>
    </w:p>
    <w:p>
      <w:pPr>
        <w:spacing w:after="0" w:line="211"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18"/>
          <w:szCs w:val="18"/>
          <w:color w:val="auto"/>
        </w:rPr>
        <w:t>The Distribution Agreement also contemplates future collaboration by the parties, including with respect to sourcing materials and service delivery. In that regard, the parties are negotiating towards a supply agreement, pursuant to which the parties are exploring cost-saving measures within our supply chain focused on accelerating gross margin improvement, particularly with respect to consumables. The focus of such supply agreement may include raw materials and components as well as manufacturing and supply chain services. The parties intend to share in any cost savings achieved in the supply of the products through this supply agreement. Additionally, the parties have signed a services agreement which permits MilliporeSigma to engage us to provide certain of our services to their customers. The parties also intend to explore additional opportunities for collaboration, such as joint development efforts for the enhancement of our products or introducing new products to be covered by the distribution arrangement. We expect to make incremental investments in our manufacturing and service organizations as our sales volumes increase over time, including as a result of increased sales volumes related to the Distribution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multiple factors as described below, each of which presents growth opportunities and challenges for our business. Our ability to successfully address these opportunities and challenges is subject to various risks and uncertainties, including those described under the heading “Risk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customer adoption of the Growth Direct platform</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financial performance has largely been driven by, and a key factor to our future success will be, our ability to increase the global adoption of our Growth Direct platform in our key markets. We plan to drive global customer adoption through both direct and indirect sales and marketing organizations in North America, Europe, and the Asia-Pacific region.</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focused on enhancing customer engagement and experience and improving the efficiency and effectiveness of our sales team. We are making targeted investments in these organizations and expect to continue to do so in the future. Examples of these investments include new tools and training for the sales organization, targeted marketing initiatives, expanding lead generation capabilities and hosting Growth Direct demonstrations and other customer-focused events.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Expansion within our existing customer base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There is an opportunity to broaden adoption and increase utilization of our Growth Direct platform throughout our existing customers' organizations as our existing customers purchase more systems. These additional systems will allow our existing customers to convert more of their test volume at existing locations, to support multiple locations, to meet redundancy requirements, or to increase capacity. As of March 31, 2026, over 40% of our customers have purchased Growth Direct systems for multiple sites, and nearly 60% of our customers have purchased multiple Growth Direct systems. Increased utilization amongst existing customers can also occur as customers advance through the Growth Direct platform adoption cycle, from early validation of initial applications to validation and conversion of multiple applications on the Growth Direct platform, or as the result of new product approvals or increases in their manufacturing volumes for existing products.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mix</w:t>
      </w:r>
    </w:p>
    <w:p>
      <w:pPr>
        <w:spacing w:after="0" w:line="229"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revenue is derived from sales of our Growth Direct systems, our LIMS connection and other software, proprietary consumables, and services. Growth Direct system revenue involves a capital selling process and tends to be somewhat concentrated within a relatively small (but varied) group of customers each year, so it is subject to variability from quarter to quarter.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 improvement</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have made significant investments to build infrastructure and develop capabilities in areas such as procurement, manufacturing, distribution, quality and after-sales service. Given our current business scale, our revenues are not yet sufficient to fully cover these costs, impacting our current gross margin profile. For additional information, see </w:t>
      </w:r>
      <w:r>
        <w:rPr>
          <w:rFonts w:ascii="Times New Roman" w:cs="Times New Roman" w:eastAsia="Times New Roman" w:hAnsi="Times New Roman"/>
          <w:sz w:val="18"/>
          <w:szCs w:val="18"/>
          <w:i w:val="1"/>
          <w:iCs w:val="1"/>
          <w:color w:val="auto"/>
        </w:rPr>
        <w:t>Item 1. Business - Gross margin improvement</w:t>
      </w:r>
      <w:r>
        <w:rPr>
          <w:rFonts w:ascii="Times New Roman" w:cs="Times New Roman" w:eastAsia="Times New Roman" w:hAnsi="Times New Roman"/>
          <w:sz w:val="18"/>
          <w:szCs w:val="18"/>
          <w:color w:val="auto"/>
        </w:rPr>
        <w:t xml:space="preserve"> included in our Annual Report on Form 10-K.</w:t>
      </w:r>
    </w:p>
    <w:p>
      <w:pPr>
        <w:spacing w:after="0" w:line="176"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have experienced positive trends in gross margin percentage, improving from (24.4)% to (0.4)% to 3.1% for the years ended December 31, 2023, 2024 and 2025, respectively, and to 4.6% for the three months ended March 31, 2026. While we expect our gross margin percentage to continue to trend positively in the future, expansion in future periods may not be linear and may be subject to variability from period to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may change or be substituted for additional or different metrics as our business grows and evolves.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Systems placed:</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Systems placed in period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systems placed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Systems validated:</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Systems validated in period</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systems validated</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total</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8,002</w:t>
            </w:r>
          </w:p>
        </w:tc>
        <w:tc>
          <w:tcPr>
            <w:tcW w:w="100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and service revenue — recurring</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5,069</w:t>
            </w:r>
          </w:p>
        </w:tc>
        <w:tc>
          <w:tcPr>
            <w:tcW w:w="100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Direct system placements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consider a Growth Direct system to be “placed” upon transfer of control of the system to the customer, at which point the revenue for that system is recognized. We regularly review the number of Growth Direct systems placed and cumulative Growth Direct system placements in each period as a leading indicator of our business performance. Our revenue has historically been driven by, and in the future will continue to be impacted by, the rate of Growth Direct system placements as a reflection of our success selling and delivering our products. We expect our Growth Direct system placements to continue to grow over time as we increase penetration in our existing markets and expand into new markets.</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number of Growth Direct system placements and rate of growth varies from period-to-period due to factors including, but not limited to, Growth Direct system order volume and timing as well as access to customer sites (including the timing of customer site construction activities). As a result, we expect to experience continued variability in our period-to-period number of Growth Direct system placements due to the aforementioned factors.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Validated systems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regularly review the number of Growth Direct systems validated and cumulative Growth Direct systems validated in each period as indicators of our business performance. Management focuses on validated Growth Direct systems as a leading indicator of likely future recurring revenue as well as a reflection of our success supporting our customers in validating placed systems. We expect our validated Growth Direct systems to continue to grow over time as we increase our base of cumulative systems placed and then install and validate those systems. After a Growth Direct system is placed with a customer and installed, we work with the customer to validate the system, which typically has taken anywhere from three to nine months. Once a validation has been completed, we generally expect our customers to transition from their legacy manual method to our automated method and begin regular utilization of consumables over a period of up to three months after the validation is completed. However, the timeline for such transition may be longer depending on the specific circumstances of each individual customer. In addition, in exceptional cases, we have reacquired Growth Direct systems from customers that were previously placed and, in some cases, previously validated. Our metrics showing cumulative systems placed and cumulative systems validated are not reduced to reflect these reacquired systems.</w:t>
      </w:r>
    </w:p>
    <w:p>
      <w:pPr>
        <w:spacing w:after="0" w:line="19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number of validated Growth Direct systems and rate of growth varies from period-to-period due to factors including, but not limited to, Growth Direct system placement volume and timing, whether customers have previously validated Growth Direct systems within their site or global network, access to customer sites, customer site readiness, availability of required customer personnel and the time to install and validate each individual system. As a result, we expect to experience continued fluctuations in our period-to-period number of Growth Direct systems validated due to the aforementioned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revenue</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regularly assess trends relating to our recurring revenue, which is the revenue from consumables and service contracts, based on our product offerings, our customer base and our understanding of how our customers use our products. Recurring revenue was 63.3% and 55.1% of our total revenue for the three months ended March 31, 2026 and 2025, respectively. Our recurring revenue as a percentage of the total product and service revenue will generally vary based upon the cumulative number of validated Growth Direct systems in the period, as well as other variables such as the volume of tests being conducted and the test application(s) being used on customers' Growth Direct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sales of our Growth Direct system (including our LIMS connection and other software), consumables, validation services, service contracts, and field service. We sell our products and services directly to customers and through distributors. Our sales arrangements are noncancellable and nonrefundable after ownership passes to the customer.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98"/>
        </w:trPr>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Pr>
          <w:p>
            <w:pPr>
              <w:spacing w:after="0"/>
              <w:rPr>
                <w:sz w:val="17"/>
                <w:szCs w:val="17"/>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derive product revenue primarily from the sale of our Growth Direct systems and related consumables as well as our LIMS connection software, which the majority of our customers purchase. As of March 31, 2026, we had placed 196 Growth Direct systems with approximately 50 customers globally, including 75% of the top 20 largest pharmaceutical companies as measured by revenue, and the manufacturers of a number of globally approved cell and gene therapies, including manufacturers of 86% of approved gene-modified autologous CAR-T cell therapies.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Direct systems</w:t>
      </w:r>
    </w:p>
    <w:p>
      <w:pPr>
        <w:spacing w:after="0" w:line="227"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Growth Direct system revenue is a non-recurring product revenue stream that we recognize as revenue upon transfer of control of the system to the customer. The Growth Direct system is fully functional for use by the customer upon delivery. Although we do not require our customers to use our installation and validation services, our customers typically elect to purchase those services from us. As such, transfer of control occurs at shipment or delivery depending on contractual terms.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Growth Direct system revenue to continue to grow over time as we increase system placements into our existing customers and markets and expand into new customers, markets and products. For instance, we announced the receipt of large, multi-system customer orders from Amgen and Samsung Biologics that contributed to our results for the quarters ended December 31, 2025 and March 31, 2026,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Consumables</w:t>
      </w:r>
    </w:p>
    <w:p>
      <w:pPr>
        <w:spacing w:after="0" w:line="22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consumable revenue is a recurring product revenue stream composed of three proprietary consumables to capture test samples for analysis on the Growth Direct system, an Environmental Monitoring ("EM") consumable, consumables for use in Water or Bioburden ("W/BB") applications, and a Sterility ("ST") consumable. Our proprietary consumables support the growth-based compendial method for MQC testing mandated by global regulators and provide results that are comparable to traditional consumables. Our consumables are designed with features that enable automation on the Growth Direct system, with bar coding for tracking and data integrity, and physical characteristics for robotic handling, to support vision detection, and to prevent counterfeiting.</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expect consumable revenue to increase in future periods as our base of cumulative validated Growth Direct systems grows and those systems enter routine use and utilize our consumables on a recurring, ongoing basis.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LIMS connection and other software</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LIMS connection software is a non-recurring product revenue stream. Although optional, the majority of our customers elect to purchase this software, which allows Growth Direct systems to export result reports and securely link to a customer’s two-way LIMS connection software to completely eliminate manual data entry and drive productivity.</w:t>
      </w:r>
    </w:p>
    <w:p>
      <w:pPr>
        <w:spacing w:after="0" w:line="17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also offer other software to our customers for use with our Growth Direct platform that adds features or expands capabilities, such as our Mold Alarm software.</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To the extent our sales of Growth Direct systems increase in future periods, we would also expect LIMS connection and other software revenue to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revenue</w:t>
      </w:r>
    </w:p>
    <w:p>
      <w:pPr>
        <w:spacing w:after="0" w:line="229" w:lineRule="exact"/>
        <w:rPr>
          <w:sz w:val="20"/>
          <w:szCs w:val="20"/>
          <w:color w:val="auto"/>
        </w:rPr>
      </w:pPr>
    </w:p>
    <w:p>
      <w:pPr>
        <w:ind w:right="80" w:firstLine="324"/>
        <w:spacing w:after="0" w:line="312" w:lineRule="auto"/>
        <w:rPr>
          <w:sz w:val="20"/>
          <w:szCs w:val="20"/>
          <w:color w:val="auto"/>
        </w:rPr>
      </w:pPr>
      <w:r>
        <w:rPr>
          <w:rFonts w:ascii="Times New Roman" w:cs="Times New Roman" w:eastAsia="Times New Roman" w:hAnsi="Times New Roman"/>
          <w:sz w:val="17"/>
          <w:szCs w:val="17"/>
          <w:color w:val="auto"/>
        </w:rPr>
        <w:t>We derive service revenue from validation services, field service including installations, and service contracts sold to our customers. Revenue from validation services and field service are non-recurring service revenue streams, while revenue from service contracts is a recurring service revenue stream.</w:t>
      </w:r>
    </w:p>
    <w:p>
      <w:pPr>
        <w:spacing w:after="0" w:line="14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offer our customers validation services (including related documentation) that enable them to replace their existing manual testing method and utilize their Growth Direct systems in compliance with relevant MQC regulations. Validation services are recognized as revenue over time as these services are provided to the customer.</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offer our customers service contracts that can be purchased after the expiration of the one-year assurance warranty that all of our customers receive with the purchase of a Growth Direct system. Under these contracts, they are entitled to receive phone support, emergency on-site maintenance support and preventative maintenance visits. These service contracts generally have fixed fees and a term of one year. We recognize revenue from the sale of service contracts over time as these services are provided over the respective contract term.</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also offer our customers field service which primarily consists of services provided by our field service engineers to install Growth Direct systems at customer sites. We recognize revenue from field service over time as these services are provided to the customer.</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expect service revenue to increase in future periods as the number of placed and validated Growth Direct systems grows and we are able to generate increasing non-recurring revenue from validation services and field service for newly placed systems and increasing recurring revenue from service contracts for validated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 gross margin, and gross margin percentage</w:t>
      </w:r>
    </w:p>
    <w:p>
      <w:pPr>
        <w:spacing w:after="0" w:line="22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Cost of product revenue primarily consists of costs for raw material parts and associated freight, shipping and handling costs, salaries and other personnel costs including non-cash stock-based compensation expense, contract manufacturer costs, scrap, warranty cost, inventory reserves, non-cash depreciation and amortization expense, allocated information technology and facility-related costs, overhead and other costs related to those sales recognized as product revenue in the period.</w:t>
      </w:r>
    </w:p>
    <w:p>
      <w:pPr>
        <w:spacing w:after="0" w:line="180"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Cost of service revenue primarily consists of salaries and other personnel costs including non-cash stock-based compensation expense, travel costs, materials consumed when performing installations, validations and other services, allocated information technology and facility-related costs, costs associated with training, and other expenses related to service revenue recognized in the period.</w:t>
      </w:r>
    </w:p>
    <w:p>
      <w:pPr>
        <w:spacing w:after="0" w:line="162" w:lineRule="exact"/>
        <w:rPr>
          <w:sz w:val="20"/>
          <w:szCs w:val="20"/>
          <w:color w:val="auto"/>
        </w:rPr>
      </w:pPr>
    </w:p>
    <w:p>
      <w:pPr>
        <w:ind w:right="100" w:firstLine="324"/>
        <w:spacing w:after="0" w:line="241" w:lineRule="auto"/>
        <w:rPr>
          <w:sz w:val="20"/>
          <w:szCs w:val="20"/>
          <w:color w:val="auto"/>
        </w:rPr>
      </w:pPr>
      <w:r>
        <w:rPr>
          <w:rFonts w:ascii="Times New Roman" w:cs="Times New Roman" w:eastAsia="Times New Roman" w:hAnsi="Times New Roman"/>
          <w:sz w:val="18"/>
          <w:szCs w:val="18"/>
          <w:color w:val="auto"/>
        </w:rPr>
        <w:t>For future periods, we expect our costs of revenue to increase or decrease commensurate with product and service volumes. Such costs may be further impacted by our ongoing efforts to reduce product costs and increase manufacturing productivity and efficiencies as well as service productivity. In addition, our product costs may be adversely impacted by recently enacted and potential future tariffs by the U.S. and other jurisdictions in which we conduct business. Disruptions to international logistics and to the supply and cost of fuel resulting from recent conflicts in the Middle East also can contribute to increases in our costs. While we do not expect such impacts on our costs to rise to levels that are material to our results of operations in the near-term, future changes in policies and other macroeconomic conditions could materially and adversely affect our results of operations.</w:t>
      </w:r>
    </w:p>
    <w:p>
      <w:pPr>
        <w:spacing w:after="0" w:line="19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Gross margin is calculated as revenue less cost of revenue. Gross margin percentage is gross margin expressed as a percentage of revenue. Our gross margin in future periods will depend on a variety of factors, including market conditions that may impact our pricing, sales mix among systems, consumables, and services, excess and obsolete inventories, our cost structure for manufacturing operations relative to volume, and product warranty obligations.</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gross margin percentage will increase over time as our future revenues from both products and services grow at rates significantly higher than the costs related to providing and supporting those products and services. However, expansion in gross margin percentage in future periods may not be linear and may be subject to variability from period to period.</w:t>
      </w:r>
    </w:p>
    <w:p>
      <w:pPr>
        <w:spacing w:after="0" w:line="176"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expect to achieve these increases through direct material cost reductions, increased manufacturing efficiencies for our products, including higher throughput on our automated consumables manufacturing line, leveraging our current cost structure to support future growth with minimal incremental investment, and by increasing productivity and efficiency in our service organization. We are also pursuing gross margin expansion opportunities through our MilliporeSigma partnership.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product development, hardware and software engineering and consultant services and other costs associated with our technology Growth Direct platform and products, which include:</w:t>
      </w:r>
    </w:p>
    <w:p>
      <w:pPr>
        <w:spacing w:after="0" w:line="162" w:lineRule="exact"/>
        <w:rPr>
          <w:sz w:val="20"/>
          <w:szCs w:val="20"/>
          <w:color w:val="auto"/>
        </w:rPr>
      </w:pPr>
    </w:p>
    <w:p>
      <w:pPr>
        <w:ind w:left="980" w:right="42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costs for salaries, bonuses and other personnel costs including non-cash stock-based compensation expense, for employees engaged in research and development functions;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maintaining and improving new and existing product designs;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hardware and software engineering;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materials and supplies;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engaged to conduct research and development associated with our technology and products; and</w:t>
      </w:r>
    </w:p>
    <w:p>
      <w:pPr>
        <w:spacing w:after="0" w:line="225"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information technology and facility-related costs, which include headcount-related costs for those functions as well as expenses for information technology systems and services, software, rent, facilities maintenance, and insurance as well as related non-cash depreciation and amortization.</w:t>
      </w:r>
    </w:p>
    <w:p>
      <w:pPr>
        <w:spacing w:after="0" w:line="176"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Our research and development costs are expensed as incurred. We believe that our continued investment in research and development is essential to our long-term competitive position. For future periods, we expect our research and development expenses to increase or decrease commensurate with the size, scope and complexity of our research and development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commissions, benefits and other personnel costs including non-cash stock-based compensation expense as well as costs relating to travel, consulting, trade shows, customer events and demonstrations, information services, advertising and allocated information technology and facility-related costs for our employees engaged in sales and marketing activities. For future periods, we expect sales and marketing expenses to increase or decrease commensurate with the number of sales and marketing personnel, our geographic sales and marketing footprint, and the size of our customer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bonuses and other personnel costs including non-cash stock-based compensation expense for our executive, finance, legal, human resources and general management employees, as well as director and officer insurance costs and professional fees for legal, patent, accounting, audit, investor relations, recruiting, consulting, regulatory, compliance, board of directors' fees and other services. General and administrative expenses also include direct and allocated information technology and facility-related costs. For future periods, we expect these expenses to increase or decrease commensurate with the size, scope and complexity of our general and administrative functions.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is comprised primarily of interest income from cash equivalents and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is comprised primarily of expense incurred from long-term debt and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net, primarily consists of other miscellaneous income and expense unrelated to our core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generated significant taxable losses during each of the three months ended March 31, 2026 and 2025, and therefore have not recorded any U.S. federal or state income tax expense during those periods. However, we did record an immaterial amount of foreign income tax expense during each of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76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9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80" w:type="dxa"/>
            <w:vAlign w:val="bottom"/>
          </w:tcPr>
          <w:p>
            <w:pPr>
              <w:spacing w:after="0"/>
              <w:rPr>
                <w:sz w:val="19"/>
                <w:szCs w:val="19"/>
                <w:color w:val="auto"/>
              </w:rPr>
            </w:pP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36.0 %</w:t>
            </w: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23"/>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3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5,225.0 %</w:t>
            </w: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4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r>
      <w:tr>
        <w:trPr>
          <w:trHeight w:val="230"/>
        </w:trPr>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Product revenue increased by $1.5 million, or 36.0%, with the increase primarily attributable to an increase in system placements as well as higher consumable shipment volumes due mainly to an increase in cumulative validated systems.</w:t>
      </w:r>
    </w:p>
    <w:p>
      <w:pPr>
        <w:spacing w:after="0" w:line="162"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Service revenue decreased by $0.7 million, or 21.9%. The decrease in service revenue was primarily driven by a decrease in validation revenue, offset by higher service contract revenue as a result of an increase in the cumulative number of systems validated and under such contracts. Service revenue from validations, which is recognized when those services are provided, generally lag the related system placements by three to nine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gross margin, and gross margin percentage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00" w:type="dxa"/>
            <w:vAlign w:val="bottom"/>
            <w:gridSpan w:val="2"/>
          </w:tcPr>
          <w:p>
            <w:pPr>
              <w:jc w:val="right"/>
              <w:ind w:right="131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r>
      <w:tr>
        <w:trPr>
          <w:trHeight w:val="190"/>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900" w:type="dxa"/>
            <w:vAlign w:val="bottom"/>
            <w:gridSpan w:val="2"/>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29"/>
        </w:trPr>
        <w:tc>
          <w:tcPr>
            <w:tcW w:w="4620" w:type="dxa"/>
            <w:vAlign w:val="bottom"/>
            <w:tcBorders>
              <w:bottom w:val="single" w:sz="8" w:color="CCEEFF"/>
            </w:tcBorders>
          </w:tcPr>
          <w:p>
            <w:pPr>
              <w:jc w:val="right"/>
              <w:ind w:right="2810"/>
              <w:spacing w:after="0"/>
              <w:rPr>
                <w:sz w:val="20"/>
                <w:szCs w:val="20"/>
                <w:color w:val="auto"/>
              </w:rPr>
            </w:pPr>
            <w:r>
              <w:rPr>
                <w:rFonts w:ascii="Times New Roman" w:cs="Times New Roman" w:eastAsia="Times New Roman" w:hAnsi="Times New Roman"/>
                <w:sz w:val="18"/>
                <w:szCs w:val="18"/>
                <w:color w:val="auto"/>
              </w:rPr>
              <w:t>Cost of service revenue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3"/>
        </w:trPr>
        <w:tc>
          <w:tcPr>
            <w:tcW w:w="4620" w:type="dxa"/>
            <w:vAlign w:val="bottom"/>
            <w:shd w:val="clear" w:color="auto" w:fill="CCEEFF"/>
          </w:tcPr>
          <w:p>
            <w:pPr>
              <w:jc w:val="right"/>
              <w:ind w:right="281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6,801</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3"/>
        </w:trPr>
        <w:tc>
          <w:tcPr>
            <w:tcW w:w="4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404</w:t>
            </w:r>
          </w:p>
        </w:tc>
        <w:tc>
          <w:tcPr>
            <w:tcW w:w="380" w:type="dxa"/>
            <w:vAlign w:val="bottom"/>
            <w:tcBorders>
              <w:bottom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9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margin percentage</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Cost of product revenue increased by $1.0 million, or 19.8%. The increase was driven by higher system and consumables sales volume, as well as an unfavorable mix impact of products sold, namely a higher rate of growth in consumables as compared to systems. This increase was partially offset by a reduction in the costs to manufacture our products.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 of service revenue decreased by $0.2 million, or 9.4%. The decrease was primarily attributable to lower service headcount and related costs.</w:t>
      </w:r>
    </w:p>
    <w:p>
      <w:pPr>
        <w:spacing w:after="0" w:line="225" w:lineRule="exact"/>
        <w:rPr>
          <w:sz w:val="20"/>
          <w:szCs w:val="20"/>
          <w:color w:val="auto"/>
        </w:rPr>
      </w:pPr>
    </w:p>
    <w:p>
      <w:pPr>
        <w:jc w:val="both"/>
        <w:ind w:right="200" w:firstLine="324"/>
        <w:spacing w:after="0" w:line="282" w:lineRule="auto"/>
        <w:rPr>
          <w:sz w:val="20"/>
          <w:szCs w:val="20"/>
          <w:color w:val="auto"/>
        </w:rPr>
      </w:pPr>
      <w:r>
        <w:rPr>
          <w:rFonts w:ascii="Times New Roman" w:cs="Times New Roman" w:eastAsia="Times New Roman" w:hAnsi="Times New Roman"/>
          <w:sz w:val="18"/>
          <w:szCs w:val="18"/>
          <w:color w:val="auto"/>
        </w:rPr>
        <w:t>Gross margin and gross margin percentage remained relatively flat between periods. There was an improvement in product margin, which was offset by a decrease in service margin.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8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8"/>
              </w:rPr>
              <w:t>3,359</w:t>
            </w:r>
          </w:p>
        </w:tc>
        <w:tc>
          <w:tcPr>
            <w:tcW w:w="98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3,624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9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74"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$0.3 million, or 7.3%. The decrease was primarily driven by lower headcount and headcount-related costs as well as the timing of spending related to new product development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6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7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780" w:type="dxa"/>
            <w:vAlign w:val="bottom"/>
          </w:tcPr>
          <w:p>
            <w:pPr>
              <w:spacing w:after="0"/>
              <w:rPr>
                <w:sz w:val="16"/>
                <w:szCs w:val="16"/>
                <w:color w:val="auto"/>
              </w:rPr>
            </w:pPr>
          </w:p>
        </w:tc>
        <w:tc>
          <w:tcPr>
            <w:tcW w:w="9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7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8"/>
              </w:rPr>
              <w:t>3,422</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2,751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8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$0.7 million, or 24.4%. This increase was primarily driven by higher headcount-related costs and third-party consulting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820" w:type="dxa"/>
            <w:vAlign w:val="bottom"/>
          </w:tcPr>
          <w:p>
            <w:pPr>
              <w:spacing w:after="0"/>
              <w:rPr>
                <w:sz w:val="16"/>
                <w:szCs w:val="16"/>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6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8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8"/>
              </w:rPr>
              <w:t>7,442</w:t>
            </w:r>
          </w:p>
        </w:tc>
        <w:tc>
          <w:tcPr>
            <w:tcW w:w="100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5,690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93.0 %</w:t>
            </w:r>
          </w:p>
        </w:tc>
        <w:tc>
          <w:tcPr>
            <w:tcW w:w="10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900"/>
        </w:trPr>
        <w:tc>
          <w:tcPr>
            <w:tcW w:w="48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$1.8 million, or 30.8%. This increase was primarily attributable to higher headcount related costs, including non-cash stock compensation expense and severance, partially offset by a reduction in consulting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Interest income for the three months ended March 31, 2026 and 2025 was $0.3 million and $0.5 million, respectively. The decrease of $0.2 million, or 45.1%, was due to lower interest rates earned on our cash equivalents and investments balances, as well as lower cash equivalents and investment balances during the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2026 and 2025 was $0.6 million and less than $0.1 million, respectively. The increase of $0.6 million, or 5,225.0%, was due to interest incurred with our long-term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27"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Other expense, net, which is comprised of miscellaneous expenses unrelated to our core business, was less than $0.1 million for each of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was less than $0.1 million for each of the three months ended March 31, 2026 and 2025. The expense recorded related to our German and Swiss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operating losses. To date, we have funded our operations primarily through proceeds from sales of redeemable convertible preferred stock, borrowings under loan agreements, revenue from sales of our products and services, proceeds from our IPO, and proceeds from our "at-the-market" ("ATM") facility.</w:t>
      </w:r>
    </w:p>
    <w:p>
      <w:pPr>
        <w:spacing w:after="0" w:line="17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cash, cash equivalents and investments and additional borrowing capacity expected to become available under the LSA that is subject to the satisfaction of certain commercial and operational milestones and other conditions later this year will enable us to fund our operating expenses and capital expenditure requirements for at least twelve months following the date the condensed consolidated financial statements contained in this Quarterly Report on Form 10-Q for the quarter ended March 31, 2026 were issued. However, if our expectations and underlying assumptions of business performance, including revenue growth, gross margin improvements, and/or control of operating costs are not realized, we may need to raise additional funding, which could be through equity offerings, debt financings or a combination thereof. If we are unable to raise capital as, if and when, needed, we may have to significantly delay, scale back or discontinue our expansion plans including further development and commercialization efforts of one or more of our products.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we had the following cash and investment-related assets on our condensed consolidated balance sheet (in thousands):</w:t>
      </w:r>
    </w:p>
    <w:p>
      <w:pPr>
        <w:spacing w:after="0" w:line="27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36830</wp:posOffset>
            </wp:positionV>
            <wp:extent cx="13887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cash</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w:t>
            </w:r>
          </w:p>
        </w:tc>
      </w:tr>
      <w:tr>
        <w:trPr>
          <w:trHeight w:val="230"/>
        </w:trPr>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r>
      <w:tr>
        <w:trPr>
          <w:trHeight w:val="234"/>
        </w:trPr>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23,233</w:t>
            </w: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-625475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-333375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121"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December 15, 2023, we entered into a sales agreement to establish an ATM facility with Cowen and Company, LLC, pursuant to which we may sell and issue shares of our Class A common stock. During the quarter and year ended December 31, 2025, we sold 113,217 shares of Class A common stock under this facility resulting in net proceeds of $0.4 million. During the quarter ended March 31, 2026, we did not issue or sell any shares of our Class A common stock under this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October 2013, we entered into an operating lease for office and manufacturing space in Lowell, Massachusetts. In March 2022, we amended the lease to increase the amount of facility space subject to the lease and extend the expiration of the lease from July 2026 to July 2029. The terms of the amendment include options for a one-time, five-year extension of the lease and early termination of the lease in July 2026 (subject to an early termination fee). Monthly rent payments are fixed and future minimum lease payments under the lease (as amended) are $2.2 million as of March 31, 2026, including $0.7 million in short-term obligations.</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June 2021, we entered into a sublease agreement for our Lexington, Massachusetts headquarters, which expires in June 2029 (the "sublease agreement"). The sublease agreement includes an option to terminate the sublease in July 2026, subject to an early termination fee. Monthly rent payments are fixed and future minimum lease payments over the term of the sublease are $2.5 million as of March 31, 2026, including $0.8 million in short-term obligations. Concurrent with entering into the sublease agreement, we executed an option agreement with the property owner which provides us the option to enter into a new direct lease for our Lexington, Massachusetts facility for an additional five years following expiration of the sublease.</w:t>
      </w:r>
    </w:p>
    <w:p>
      <w:pPr>
        <w:spacing w:after="0" w:line="181"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contractual obligation and commitments please see Note 15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56"/>
        </w:trPr>
        <w:tc>
          <w:tcPr>
            <w:tcW w:w="8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7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$15.1 million, an increase of $6.0 million compared to the three months ended March 31, 2025. The higher use of net cash was primarily due to the volume and timing of collections from customers and payments to vendors, as well as higher personnel-related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investing activities was $8.6 million, a decrease of $2.1 million compared to the three months ended March 31, 2025. Higher investment maturities in the prior-year period coupled with an increase in investment purchases in the current period contributed to the reduction in cash provided by investing activities.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$0.2 million, a decrease of $0.1 million compared to the three months ended March 31, 2025. The primary driver of this decrease was reduced stock option exercises in the current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revenues vary from quarter to quarter as a result of factors such as our customers’ budgetary cycles and extended summer vacation periods that can impact our ability to progress system sale processes, deliver products and provide onsite services to our customers during those periods. We expect this variability to continue for the foreseeable future, which may cause fluctuations in our operating results and financial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generally accepted accounting principles in the United States.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Our estimates are based on our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9" w:lineRule="exact"/>
        <w:rPr>
          <w:sz w:val="20"/>
          <w:szCs w:val="20"/>
          <w:color w:val="auto"/>
        </w:rPr>
      </w:pPr>
    </w:p>
    <w:p>
      <w:pPr>
        <w:ind w:right="200" w:firstLine="324"/>
        <w:spacing w:after="0" w:line="277" w:lineRule="auto"/>
        <w:rPr>
          <w:sz w:val="20"/>
          <w:szCs w:val="20"/>
          <w:color w:val="auto"/>
        </w:rPr>
      </w:pPr>
      <w:r>
        <w:rPr>
          <w:rFonts w:ascii="Times New Roman" w:cs="Times New Roman" w:eastAsia="Times New Roman" w:hAnsi="Times New Roman"/>
          <w:sz w:val="17"/>
          <w:szCs w:val="17"/>
          <w:color w:val="auto"/>
        </w:rPr>
        <w:t>Our significant accounting policies are described in more detail in Note 2 — Summary of Significant Accounting Policies to our condensed consolidated financial statements included elsewhere in this Quarterly Report on Form 10-Q. 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the 2025 Form 10-K, other than as disclosed in Note 2 — Summary of Significant Accounting Policies — to our condensed consolidated financial statements appearing elsewhere in this Quarterly Report on Form 10-Q.</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 Summary of Significant Accounting Policies — to our condensed consolidated financial statements appearing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9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will cease to be an emerging growth company on December 31, 2026, at the latest.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we had cash, cash equivalents and short-term investments of $23.2 million, which consisted of cash, money market funds, U.S. treasury bills, and U.S. treasury notes. Interest income is sensitive to changes in the general level of interest rates; however, due to the nature of these investments, an immediate 10% change in interest rates would not have a material effect on the fair market value of our investment portfolio. Fluctuations in interest rates may also affect our business through its impact on the broader macroeconomic environment, potentially manifesting as decreased demand for our products and services from customers who may face economic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43"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While we have experienced some impact from inflation related mainly to our materials, labor and freight costs, we have been able to mitigate further impacts, including through long-term contracts and commitments with key suppliers. In addition, we continue to monitor the impact of inflation on these costs and seek to minimize its effects through productivity improvements and cost reductions. As a result, we currently do not believe that inflation has had a material effect on our business, financial condition or results of operations. However, the imposition of tariffs by the U.S. and other trading nations, as well as supply chain disruptions as a result of geopolitical events that increase energy costs and the price of products derived from petroleum, may have an inflationary effect on the prices of goods and services, including those that we utilize in the production of our products and delivery of our services. As a result, due to these and other macroeconomic factors, we have and may continue to experience inflationary pressures on significant cost categories including labor, materials and freight. If our costs were to become subject to significant incremental inflationary pressures, we may not be able to meaningfully offset such higher costs through price increases. Our inability or failure to do so could harm our business, financial condition or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ind w:right="40" w:firstLine="324"/>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Our disclosure controls and procedures are designed to ensure (a) that information required to be disclosed in the reports we file or submit under the Exchange Act is recorded, processed, summarized and reported within the time periods specified in the SEC’s rules and forms, and (b) that information required to be disclosed by us in reports filed or submitted under the Exchange Act is accumulated and communicated to our management, including our principal executive officer and principal financial officer to allow timely decisions regarding required disclosures. Based on that</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evaluation, our principal executive officer and principal financial officer concluded that, as of March 31, 2026, our disclosure controls and procedures were effective at the reasonable assurance level.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material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business involves significant risks. Stockholders should carefully consider the risks and uncertainties described below and the other information in this Quarterly Report on Form 10-Q. Our business, financial condition, results of operations, or prospects could be materially and adversely affected if any of these risks occurs and, as a result, the market price of our Class A common stock could decline and stockholders could lose all or part of their investment. This Quarterly Report on Form 10-Q also contains forward-looking statements that involve risks and uncertainties. See “Forward-Looking Statements” on page </w:t>
      </w:r>
      <w:r>
        <w:rPr>
          <w:rFonts w:ascii="Times New Roman" w:cs="Times New Roman" w:eastAsia="Times New Roman" w:hAnsi="Times New Roman"/>
          <w:sz w:val="18"/>
          <w:szCs w:val="18"/>
          <w:i w:val="1"/>
          <w:iCs w:val="1"/>
          <w:u w:val="single" w:color="auto"/>
          <w:color w:val="0000FF"/>
        </w:rPr>
        <w:t>3</w:t>
      </w:r>
      <w:r>
        <w:rPr>
          <w:rFonts w:ascii="Times New Roman" w:cs="Times New Roman" w:eastAsia="Times New Roman" w:hAnsi="Times New Roman"/>
          <w:sz w:val="18"/>
          <w:szCs w:val="18"/>
          <w:i w:val="1"/>
          <w:iCs w:val="1"/>
          <w:color w:val="auto"/>
        </w:rPr>
        <w:t>. Our actual results could differ materially and adversely from those anticipated in these forward-looking statements as a result of certain important factors, including those set forth below.</w:t>
      </w:r>
    </w:p>
    <w:p>
      <w:pPr>
        <w:spacing w:after="0" w:line="20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i w:val="1"/>
          <w:iCs w:val="1"/>
          <w:color w:val="auto"/>
        </w:rPr>
        <w:t>The risk factors denoted with a “*”, if any, are newly added or have been materially updated from our Annual Report on Form 10-K for the fiscal year ended December 31, 2025 (the "2025 Form 10-K").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in the future and we may not be able to achieve and maintain positive cash flow and profitability.</w:t>
      </w:r>
    </w:p>
    <w:p>
      <w:pPr>
        <w:spacing w:after="0" w:line="172" w:lineRule="exact"/>
        <w:rPr>
          <w:sz w:val="20"/>
          <w:szCs w:val="20"/>
          <w:color w:val="auto"/>
        </w:rPr>
      </w:pPr>
    </w:p>
    <w:p>
      <w:pPr>
        <w:ind w:right="80" w:firstLine="324"/>
        <w:spacing w:after="0" w:line="236" w:lineRule="auto"/>
        <w:rPr>
          <w:sz w:val="20"/>
          <w:szCs w:val="20"/>
          <w:color w:val="auto"/>
        </w:rPr>
      </w:pPr>
      <w:r>
        <w:rPr>
          <w:rFonts w:ascii="Times New Roman" w:cs="Times New Roman" w:eastAsia="Times New Roman" w:hAnsi="Times New Roman"/>
          <w:sz w:val="18"/>
          <w:szCs w:val="18"/>
          <w:color w:val="auto"/>
        </w:rPr>
        <w:t>We have incurred significant losses since our inception. For the three months ended March 31, 2026, we incurred net losses of $14.3 million. As of March 31, 2026, we had an accumulated deficit of $536.7 million. Since our inception, we have financed our operations primarily from private placements of equity, the incurrence of indebtedness, our initial public offering, and to a lesser extent, revenue derived from our Growth Direct platform and non-commercial contracts. We have devoted substantially all of our resources to the development and commercialization of our Growth Direct platform and to development activities related to advancing and expanding our technological capabilities. While we have a goal of achieving positive cash flow without additional financing, there can be no assurance that we will attain this goal. Our positive cash flow goal is based on our expectations of business growth that are generally consistent with our historical performance, including with respect to revenue and gross margins, which may not be replicated in future periods. Attaining our cash flow goal also depends on our ability to realize additional cost savings that we believe are reasonably achievable, but are not guaranteed. We will need to generate significant additional revenue, significantly improve our gross margin and/or further reduce costs to achieve positive cash flow and profitability, and even if achieved, we cannot be sure that we will sustain positive cash flow and profitability for any substantial period of time. While our goal to achieve positive cash flow is underpinned by our recent and historical performance, such performance is not necessarily indicative of our future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Predictions about our future success or viability may not be as accurate as they could be if our products had a longer commercial history. While our product and services revenue has continued to increase in recent periods, if our strategy to grow and scale our business is not successful, we may not be able to achieve continued revenue growth. Our limited operating history, evolving business and rapid growth make it difficult to evaluate our future prospects and the risks and challenges we may encounter, and we may not continue to grow at or near historical rates.</w:t>
      </w:r>
    </w:p>
    <w:p>
      <w:pPr>
        <w:spacing w:after="0" w:line="180"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In addition, as we seek to innovate in and disrupt the current microbial quality control ("MQC") market, we may encounter unforeseen expenses, difficulties, complications, delays and other known and unknown challenges. We are transitioning to a company capable of supporting commercial manufacturing, sales and marketing at scale in the United States and abroad. We may not be successful in such a transition and, as a result, our business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the commercial success of our Growth Direct platform, which may not be achieved or maintained.</w:t>
      </w:r>
    </w:p>
    <w:p>
      <w:pPr>
        <w:spacing w:after="0" w:line="22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Our business is dependent on sales of our Growth Direct systems and related consumables and services. Our ability to achieve and maintain commercial market acceptance of our Growth Direct platform will depend on a number of factors, including:</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acceptance by drug manufacturers of automated MQC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the capabilities of automated MQC testing and our technology and solutions;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willingness to adopt new technologies and workflows;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our platform with our customers’ existing workflows, including related to regulatory validation processes;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platform reliably provides advantages over the conventional, manual method of MQC testing and other automated technologies and is perceived by customers to be cost effective;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the pharmaceutical and biopharmaceutical industry, in particular biologics and cell and gene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business strategy, including continuing to expand in the market for cell and gene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platform and solutions by drug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we charge for our systems and consumables;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reliability and robustness of our platform as a whole and the components of our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for existing customers and to expand our capabilities within the MQC testing workflow;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use of our platform with existing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competitive automated MQC testing platforms;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innovation and commercial growth.</w:t>
      </w:r>
    </w:p>
    <w:p>
      <w:pPr>
        <w:spacing w:after="0" w:line="225" w:lineRule="exact"/>
        <w:rPr>
          <w:sz w:val="20"/>
          <w:szCs w:val="20"/>
          <w:color w:val="auto"/>
        </w:rPr>
      </w:pPr>
    </w:p>
    <w:p>
      <w:pPr>
        <w:ind w:right="620" w:firstLine="324"/>
        <w:spacing w:after="0" w:line="266" w:lineRule="auto"/>
        <w:rPr>
          <w:sz w:val="20"/>
          <w:szCs w:val="20"/>
          <w:color w:val="auto"/>
        </w:rPr>
      </w:pPr>
      <w:r>
        <w:rPr>
          <w:rFonts w:ascii="Times New Roman" w:cs="Times New Roman" w:eastAsia="Times New Roman" w:hAnsi="Times New Roman"/>
          <w:sz w:val="18"/>
          <w:szCs w:val="18"/>
          <w:color w:val="auto"/>
        </w:rPr>
        <w:t>We cannot assure our stockholders that we will be successful in addressing each of these criteria or other criteria that might affect the market acceptance of our products. If we are unsuccessful in achieving and maintaining commercial market acceptance of our Growth Direct platform, our business, financial condition, results of operations and prospects could be adversely affected.</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have fluctuated significantly in the past and will fluctuate significantly in the future, which makes our future operating results difficult to predict and could cause our operating results to fall below expectations.</w:t>
      </w:r>
    </w:p>
    <w:p>
      <w:pPr>
        <w:spacing w:after="0" w:line="172"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significantly in the past and may fluctuate significantly in the future, which makes it difficult for us to predict our future operating results. For example, while we have experienced positive trends in our gross margin percentage, expansion in future periods may not be linear and may be subject to variability from period to period. In that regards, our gross margin percentage improved from (0.4)% for the 12 months ended December 31, 2024 to 3.1% for the 12 months ended December 31, 2025, while quarterly gross margin percentage declined from 5.6% for the three months ended March 31, 2025, to 4.6% for the three months ended March 31, 2026. Additionally, revenue growth and operating expenses may also be subject to variability from period to period. For instance, we announced the receipt of large, multi-system customer orders from Amgen and Samsung Biologics that contributed to our results for the quarters ended December 31, 2025 and March 31, 2026, respectively. Additionally, the timing of consumables, validations and service revenue is variable. These fluctuations may occur due to a variety of factors, many of which are outside of our control, including, but not limited to:</w:t>
      </w:r>
    </w:p>
    <w:p>
      <w:pPr>
        <w:spacing w:after="0" w:line="199" w:lineRule="exact"/>
        <w:rPr>
          <w:sz w:val="20"/>
          <w:szCs w:val="20"/>
          <w:color w:val="auto"/>
        </w:rPr>
      </w:pPr>
    </w:p>
    <w:p>
      <w:pPr>
        <w:ind w:left="980" w:right="28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tendency to purchase our Growth Direct system, including multiple systems, in a single transaction, resulting in significant variations in sales of our systems over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platform and solutions, which may vary significantly;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of the sales cycle for purchases of our systems;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 due to our customers’ budgetary cycles and time off during summer vacation and end-of-year periods;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time needed for validation prior to our customers’ purchasing and using our consumables;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consumables;</w:t>
      </w:r>
    </w:p>
    <w:p>
      <w:pPr>
        <w:spacing w:after="0" w:line="225"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technology development and commercialization activities, which may change from time to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completion, and output of manufacturing runs;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shipping our products or of providing services to our customers, which may impact our operating gross margin in any given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or replacements that may impact our customers’ confidence in us and our products and our reputation in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reliability and robustness of our platform;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involved in preparing, filing, prosecuting, maintaining, defending and enforcing patent claims;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sales organization to design and execute effective sales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cost reduction efforts, and the resulting costs and savings related to these actions; and</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such as inflation and tariffs, unrelated to our operating performance or the operating performance of our competitors.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effect of any single factor, or the cumulative effects of a combination of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We may continue to experience fluctuations in our operating results as a result of these factors.</w:t>
      </w:r>
    </w:p>
    <w:p>
      <w:pPr>
        <w:spacing w:after="0" w:line="17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fail to meet our publicly announced guidance or other expectations about our business and future operating results, which could adversely affect our business, reputation and financial results and cause our stock price to decline.</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announce earnings guidance and other expectations regarding the future performance of our business in our quarterly and annual earnings conference calls, quarterly and annual earnings releases, or otherwise, that represents our management’s estimates as of the date of such disclosure. This guidance includes forward-looking statements based on projections prepared by our management. Projections are based upon a number of assumptions and estimates that are based on information known when they are issued, and, while presented with numerical specificity, are inherently subject to significant business, economic, and competitive uncertainties and contingencies relating to our business, many of which are beyond our control and are based upon specific assumptions with respect to future business decisions, some of which will change. It can be expected that some or all of the assumptions underlying any guidance furnished by us will not materialize or will vary significantly from actual results. From time to time, we provide possible outcomes as high and low ranges, but these are not intended to imply that actual results could not fall outside of the suggested ranges.</w:t>
      </w:r>
    </w:p>
    <w:p>
      <w:pPr>
        <w:spacing w:after="0" w:line="178"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Our actual business results may vary significantly from such guidance due to a number of factors, many of which are outside of our control, including our customers’ demand for our Growth Direct systems, the length of the sales cycle for purchases of our systems, customer site readiness and the lead time needed for validation of our systems prior to customers purchasing and using our consumables, the costs of manufacturing and shipping our products or of providing services to our customers, as well as the impact of global economic uncertainty and financial market conditions, such as recently imposed and potential future tariffs, geopolitical events, rising inflation, rising interest rates, and public health crises, all of</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which have in the past and may in the future adversely affect our business and operating results. For example, guidance that we provide is based on system purchase order commitments that we have in hand or expect to receive in the future, which may not be a reliable indicator. We recognize revenue upon the delivery of our systems to customers, at which point we also classify such systems as placed. Delivery of our systems to customers is dependent on a number of factors, many of which are beyond our control, including our customers’ plans and circumstances with respect to their manufacturing capabilities, such as the timing of construction activities. If our systems are not delivered on the timelines that we expect or at all, our expectations with respect to the recognition of revenue and number of systems placed may prove to be incorrect. Furthermore, if we make downward revisions of our previously announced guidance, or if our publicly announced guidance of future operating results fails to meet expectations of securities analysts, investors, or other interested parties, we may experience adverse effects on our business and reputation and the price of our common stock could decline.</w:t>
      </w:r>
    </w:p>
    <w:p>
      <w:pPr>
        <w:spacing w:after="0" w:line="20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such disclosure. Actual results may vary from our guidance and the variations may be material. Investors are urged to exercise caution when using our guidance in making an investment decision regarding our common stock. Any failure to successfully implement our business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the level of sales of our Growth Direct systems or the sales of our consumables and services to existing customers declines, our future operating results would be adversely affected.</w:t>
      </w:r>
    </w:p>
    <w:p>
      <w:pPr>
        <w:spacing w:after="0" w:line="15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Many of our customers purchase multiple Growth Direct systems at the same time and we expect them to use these systems for many years before needing to purchase new systems. Our ability to generate revenue depends on our ability to sell our Growth Direct system to new customers or expand the use of our system by existing customers. Our current commercial strategy includes targeting sales to customers that are receptive to entering into multi-system deals with us. As a result, in the near term, we have observed and we continue to expect that a significant portion of our revenue to primarily be generated from a small number of different customers each year. We also rely on consumables and service contracts as a source of recurring revenue from our existing customers. These consumables and service contracts are purchased on an as-needed basis and, as a result, revenue from these sources may be subject to change, as customers’ purchasing practices and policies change or their demand for our consumables and service contracts change. For example, in the past, we have experienced occasions in which customers’ facilities in which our Growth Direct systems were used have been closed or sold, which resulted in the reduction, suspension, or cessation of purchases of consumables at such sites. If we are unable to sell our Growth Direct system to new customers, if our existing customers do not expand their use of our systems, or if our existing customers decide to purchase fewer of our consumables and service contracts or terminate their relationships with us, our revenue could significantly decrease, which would have an adverse effect on our financial condition and results of operations and could adversely impact our ability to execute on our growth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2025, we entered into a Loan and Security Agreement (the "LSA"), with the lenders party thereto, or the Lenders, and Trinity Capital Inc., as administrative agent and collateral agent (the "Agent"). The LSA provides for up to $45.0 million of senior secured term loans (the "Term Loan"), available to us in multiple tranches. The availability of future tranches is subject to certain commercial and operational milestones and other conditions set forth in the LSA and, therefore, there can be no guarantee that we will be able to access any future tranches. The Term Loan will mature on September 1, 2030. Our obligations under the LSA are secured, subject to customary exceptions, by a security interest in all of our tangible and intangible assets, including our intellectual property.</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LSA contains customary covenants that could prevent us from taking certain actions without the consent of the Lenders. These covenants may limit our flexibility in operating our business and our ability to take actions that might be advantageous to us and our stockholders. For additional information see Note 9 — </w:t>
      </w:r>
      <w:r>
        <w:rPr>
          <w:rFonts w:ascii="Times New Roman" w:cs="Times New Roman" w:eastAsia="Times New Roman" w:hAnsi="Times New Roman"/>
          <w:sz w:val="18"/>
          <w:szCs w:val="18"/>
          <w:i w:val="1"/>
          <w:iCs w:val="1"/>
          <w:color w:val="auto"/>
        </w:rPr>
        <w:t>Notes payable, net</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LSA also contains customary events of default, including the failure to make payments when due or comply with other covenants therein. We intend to satisfy our current and future debt service obligations with our then-existing cash and cash equivalents. However, we may not have sufficient funds, and may be unable to arrange for additional financing, to pay the amounts due under LSA or any other debt instruments. Upon the occurrence and continuance of an event of default, the Lenders may accelerate all of our repayment obligations and take control of our pledged assets, potentially requiring us to</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renegotiate our agreement on terms less favorable to us or to immediately cease operations. Any declaration by the Lenders of an event of default would therefore significantly harm our business and prospects and could cause the price of our common stock to decline.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raise any additional debt financing, the terms of such additional debt could further restrict our operating and financial flexibility.</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or otherwise decide to raise additional capital to fund our existing operations, improve our platform or develop and commercialize new products or expand our operations.</w:t>
      </w:r>
    </w:p>
    <w:p>
      <w:pPr>
        <w:spacing w:after="0" w:line="15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We expect that our efforts to maintain our position in the MQC industry, including improving our Growth Direct platform and developing new products, will continue to require significant resources. Based upon our current operating plan, we believe our existing cash, cash equivalents, and short-term investments of $22.9 million as of March 31, 2026, plus additional borrowing capacity expected to become available under the LSA that is subject to the satisfaction of certain commercial and operational milestones and other conditions later this year, will enable us to fund our operating expenses and capital expenditure requirements for at least 12 months following the date of this Quarterly Report on Form 10-Q. This estimate and our expectation regarding the sufficiency of our existing cash, cash equivalents, and investments are based on assumptions that may prove to be wrong, and we could use our available capital resources sooner than we currently expect. Until such time, if ever, as we can generate sufficient cash flow, we may finance our cash needs through a combination of equity offerings and additional debt financings or other sources. We do not currently have any committed external source of funds that are not subject to conditions to access. While we have a goal of achieving positive cash flow without additional financing, there can be no assurance that we will attain this goal. Our goal to reach positive cash flow is based on our expectations of business performance that are generally consistent with our historical performance, including with respect to revenue and gross margins, which may not be replicated in future periods. Our goal also depends on our ability to realize additional cost savings that we believe are reasonably achievable, but are not guaranteed. In addition, we may selectively and opportunistically seek additional capital due to favorable market conditions or strategic considerations, even if we believe that we have sufficient funds for our current or future operating plans.</w:t>
      </w:r>
    </w:p>
    <w:p>
      <w:pPr>
        <w:spacing w:after="0" w:line="19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funding requirements may increase significantly if one or more of the other risks, events or circumstances described elsewhere in these risk factors are realized.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In addition, additional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intellectual property, future revenue streams or products or grant licenses on terms that may not be favorable to us. Furthermore, any capital raising efforts may divert our management from their day-to-day activities, which may adversely affect our ability to advance product development activities. If we are unable to raise additional funds when needed, we may be required to delay, limit, reduce or terminate product development or commercialization efforts.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heavily on establishing and maintaining our position in the market as a leading provider of automated MQC testing.</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future profitability will depend on our ability to successfully execute and maintain a sustainable business model and generate continuous streams of revenue. Our business model is premised on our position as a leader in automated MQC testing and the competitive advantages that such position creates. Our Growth Direct platform, among other things, is designed to reduce the amount of time for MQC testing and the opportunity for human error in what we believe is a more cost-effective manner than traditional MQC testing. However, if competitors develop and commercialize an automated MQC testing platform and are able to obtain traction with customers, we may not be able to maintain our lead position and execute our business strategy. If we are unable to expand or continue to expand our customers in growing areas of drug manufacturing, such as biologics and cell and gene therapies, continue to grow market adoption of our Growth Direct platform, and maintain our position as the industry leader in automated MQC testing, our business, prospects, financial condition and results of operation could be adversely affected.</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expanding our business with existing customers and driving adoption of our solutions with new customers.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success will depend on our ability to expand our business with existing customers and to target new drug manufacturing customers to capture a greater share of the MQC testing value chain. Our ability to grow our business with existing customers will depend on our ability to broaden the application of our automated MQC testing to a larger portion of the MQC testing workflow and to increase the number of Growth Direct systems in their manufacturing facilities. Our ability to expand our business will also depend on our ability to attract new customers and to integrate our platform with new methods of manufacturing, such as cell and gene therapies. Future revenue growth will also depend on our ability to develop and market new products, technologies and solutions to meet our customers’ evolving needs, as well as our ability to identify new applications and customers for our technology in additional industries beyond the drug manufacturing industry.</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we continue to scale our business, we may find that certain of our products, certain customers or certain industries may require a dedicated sales force or sales personnel with different experience than those we currently employ. Identifying, recruiting and training additional qualified personnel would require significant time, expense and attention. If we are unable to drive new customer conversion to automated MQC and our Growth Direct platform, expand adoption of our Growth Direct platform into new industries and markets, or increase the usage and value of our platform to our customers, then our business, financial condition, results of operations and prospects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expand our Growth Direct platform to customers who manufacture cell and gene therapies.</w:t>
      </w:r>
    </w:p>
    <w:p>
      <w:pPr>
        <w:spacing w:after="0" w:line="22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ability to expand our Growth Direct platform to customers who manufacture cell and gene therapies depends upon our ability to integrate our platform with the novel manufacturing processes being developed for these therapies. Companies that manufacture cell and gene therapies are developing new approaches to handle this manufacturing method, including novel facility layouts, new processes and workflows, and new quality and risk management frameworks. Unlike traditional “small molecule” drug manufacturing, the manufacture of biologics, and cell and gene therapies in particular, is more time sensitive and subject to increased risk of contamination due to material handling and process change-over. There are also currently a small number of cell and gene therapies approved by the U.S. Food and Drug Administration ("FDA"). While we have experience providing automated MQC testing for customers that manufacture a number of these approved therapies, we may encounter challenges or unexpected issues as we apply our Growth Direct platform to testing a greater number of therapies as they are approved in future. We cannot be certain that we will be able to successfully or consistently integrate our platform with this novel manufacturing process. If we are unable to successfully expand our Growth Direct platform into this growing segment of therapeutic manufacturing, our business and financial position may be adversely affected.</w:t>
      </w:r>
    </w:p>
    <w:p>
      <w:pPr>
        <w:spacing w:after="0" w:line="19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markets and forecasts of market growth for automated MQC testing and other of our key performance indicators are based on a number of complex assumptions and estimates, and may be inaccurate.</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estimate annual total addressable markets and forecasts of market growth for our Growth Direct platform. We have also developed a standard set of key performance indicators in order to enable us to assess the performance of our business in and across multiple markets, and to forecast future revenue. These estimates, forecasts and key performance indicators are based on a number of complex assumptions, internal and third-party estimates and market studies, and other business data, including assumptions and estimates relating to our ability to generate revenue from the expansion of our platform into new drug manufacturing areas and new industries. While we believe our assumptions and the data underlying our estimates and key performance indicators are reasonable, there are inherent challenges in measuring or forecasting such information. As a result, these assumptions and estimates may not be correct and the conditions supporting our assumptions or estimates may change at any time, thereby reducing the predictive accuracy of these underlying factors and indicators. As a result, our estimates of the total addressable market and our forecasts of market growth for our current or future products may prove to be incorrect, and our key performance indicators may not reflect our actual performance. If the total addressable market or the potential market growth for our platform is smaller than we have estimated or if the key performance indicators we utilize to forecast revenue are inaccurate, it may impair our sales growth and have an adverse impact on our business, financial condition, results of operations and prospects.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involves a lengthy and complex process and we may be unable to develop or commercialize products on a timely basis, or at all.</w:t>
      </w:r>
    </w:p>
    <w:p>
      <w:pPr>
        <w:spacing w:after="0" w:line="15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Products from our development programs will take time and considerable resources to develop, and may include improvements or changes to our systems, software and consumables. We may not be able to complete development and commercialize them on a timely basis, or at all. There can be no assurance that our development programs will produce commercial products and solutions and before we can commercialize any new products, we will need to expend significant funds in order to:</w:t>
      </w:r>
    </w:p>
    <w:p>
      <w:pPr>
        <w:spacing w:after="0" w:line="180"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which may include validation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engineering and manufacturing processes to accommodate different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 and</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data and analytical insights generated from existing Growth Direct platform in our research and development programs in order to advance these programs.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product development processes involve a high degree of risk, and these efforts may be delayed or fail for many reasons, including:</w:t>
      </w:r>
    </w:p>
    <w:p>
      <w:pPr>
        <w:spacing w:after="0" w:line="225"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product to perform as expected;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than anticipated;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reliably demonstrate the advantages of our products.</w:t>
      </w:r>
    </w:p>
    <w:p>
      <w:pPr>
        <w:spacing w:after="0" w:line="22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if we are unable to generate additional data and insights from our existing Growth Direct platforms, then we may not be able to advance these programs as quickly, or at all, or without significant additional investment, all of which could have a material adverse effect on our product development efforts.</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Even if we are successful in developing new products, it will require us to make significant additional investments in marketing and selling resources in order to commercialize any such products. For example, we recently made generally available for commercial sale our rapid sterility application for use on the Growth Direct system, for which we have expended significant time and resources to develop. We placed our first Growth Direct rapid sterility system with an existing customer in the second quarter of 2024. However, there can be no assurance that this new sterility test will gain broad commercial acceptance or that we will scale our manufacturing capabilities to support customer demand. Furthermore, because this is a new application, we may encounter technical or other product challenges as customers adopt and implement Growth Direct rapid sterility into their workflows. We may be unsuccessful in commercializing new products that we develop, which could adversely affect our business, financial condition, results of operations and prospects.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use our Growth Direct platform as part of their quality control workflow, which is subject to regulation by the FDA and other comparable regulatory authorities.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provide products and services used for quality-control testing in pharmaceutical product manufacturing. Our customers are subject to extensive regulations by the FDA and similar regulatory authorities in other countries, including, for example, current good manufacturing practice regulations and associated requirements to validate the methods used to manufacture their products. To meet their regulatory compliance requirements, our customers have implemented quality-control workflows to monitor for microbial growth and contamination. While our Growth Direct platform is not regulated directly by the FDA or other comparable authorities and we have not verified our Growth Direct platform for compliance with such regulations, we have designed our platform to be integrated as part of a compliant quality-control workflow. If our Growth Direct platform is unable to meet regulatory standards for compliance or we are unable to update our platform to meet new regulatory requirements, we will lose customers and our business will be adversely affected. While under our agreements with our customers we are not liable for non-compliance of our Growth Direct platform, if a customer experienced a compliance failure due to our Growth Direct platform, or that the customer attributes to our Growth Direct platform, our reputation could be harmed and our business prospects adversely affected.</w:t>
      </w:r>
    </w:p>
    <w:p>
      <w:pPr>
        <w:spacing w:after="0" w:line="200" w:lineRule="exact"/>
        <w:rPr>
          <w:sz w:val="20"/>
          <w:szCs w:val="20"/>
          <w:color w:val="auto"/>
        </w:rPr>
      </w:pPr>
    </w:p>
    <w:p>
      <w:pPr>
        <w:spacing w:after="0" w:line="3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manage our inventory and support demand for existing and future products on the Growth Direct platform, our business could suffer.</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the number of customers using the Growth Direct platform grows and our volume of installed systems increases, we will need to continue to increase our capacity for customer service and support, including maintenance services of our systems, and expand our manufacturing capabilities. As a result, we will also need to purchase additional equipment, some of which can take several months or more to procure, setup and validate, and increase our personnel levels to meet increased demand. There is no assurance that any of these measures taken with respect to scale and expansion of personnel, equipment, manufacturing or services will be successfully implemented, or that we will have adequate space, including in our manufacturing facility, to accommodate such required expansion.</w:t>
      </w:r>
    </w:p>
    <w:p>
      <w:pPr>
        <w:spacing w:after="0" w:line="201"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Additionally, we maintain certain levels of inventory to support future product manufacturing efforts and to align production volumes with anticipated customer demand. It is important for us to manage our consumables inventory to align production volumes with customer demand. For example, if our inventory of consumables exceeds customer demand, we may be unable to sell such inventory before it expires. Similarly, if our inventory of Growth Direct systems should exceed our customer demand, then it may not be sold at a pace that keeps up with the development of our technology and may therefore become obsolete or no longer be competitive in the marketplace. We have experienced, and may in the future experience, expiry of certain limited shelf life consumables in our inventory that rendered such inventory unsellable and resulted in charges to product cost of goods sold, adversely impacting our gross margins. Conversely, failure to maintain sufficient inventory levels to support customer demand may impact our ability to meet customer demand, disrupt our customers’ workflows and business operations, damage our relationships with our customers and our reputation and lead to customer dissatisfaction. Failure by us to adequately manage our inventory could adversely impact our business operations, financial condition and results of operations, including with respect to working capital and gross margins.</w:t>
      </w:r>
    </w:p>
    <w:p>
      <w:pPr>
        <w:spacing w:after="0" w:line="20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if we commercialize additional products in the future, we will need to incorporate new equipment, implement new technology systems and processes, and hire new personnel, possibly with supplemental or different qualifications as compared to our current personnel. Failure to manage this growth or transition could result in product delays, higher cost of product revenue,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marketing and sales, and if we are unable to successfully market our products to new and existing customers, address our customers’ needs or to expand our customer base, our business may be adversely affected.</w:t>
      </w:r>
    </w:p>
    <w:p>
      <w:pPr>
        <w:spacing w:after="0" w:line="15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limited experience in marketing and selling our products and we currently rely on a small team to make direct sales in countries around the world. There are significant risks involved with relying on our own marketing and sales capabilities, including our ability to design and execute effective sales processes, generate and convert sufficient sales opportunities into new customers and place additional systems with existing customers. We have recently expanded our sales organization and implemented measures designed to improve the effectiveness of our sales force, but there can be no assurance that those efforts will translate into improved commercial outcomes.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Competition for employees capable of selling capital equipment such as the Growth Direct system into the pharmaceutical industry is intense. There are significant expenses and risks involved with having our own sales and marketing team, including our ability to hire, train, retain, and appropriately incentivize a sufficient number of qualified individuals, generate sufficient sales leads and provide our sales and marketing team with adequate access to customers who may want to purchase our products, effectively manage a geographically dispersed sales and marketing team, and other unforeseen costs and expenses. We may not be able to attract and retain personnel or be able to build an efficient and effective sales organization, which could negatively impact sales and market acceptance of our products and limit our revenue growth and potential profitability. In addition, the time and cost of establishing a specialized sales, marketing and service force for a particular product or service may be difficult to justify in light of the revenue generated or projected.</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may engage distributors or other strategic partners for the sale of our products, including in jurisdictions outside of the U.S. For example, in 2025, we entered into the Distribution Agreement with MilliporeSigma. There can be no assurance that we can identify and enter into additional arrangements with distributors or other strategic partners on terms that are favorable to us or at all. In some cases, we would exert limited control over these distributors, and if their sales and marketing efforts for our products are not successful, our business would be materially and adversely affected. We may not be successful in locating, qualifying and engaging distributors with industry experience and knowledge, including that of jurisdictions outside of the U.S. Even if we are successful in identifying distributors, such distributors may engage in sales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practices that violate federal, state, local or foreign laws or our internal policies. Furthermore, with respect to distributors in non-U.S. jurisdictions, sales practices utilized by any such distributors that are locally acceptable may not comply with sales practices standards required under U.S. laws that apply to us, which could create additional compliance risk.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issues could impair our ability to successfully place our Growth Direct systems and meet our revenue expectations.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have devoted significant efforts to streamline our business operations and refocus our personnel strategy, with the goal of achieving sustained growth in our business operations. The volatility in our growth has required significant time and attention from our management, and placed strains on our operational and manufacturing systems and processes, financial systems and internal controls and other aspects of our business. As needed, we expect to selectively increase headcount and to hire more specialized personnel in the future as we grow our business. We will need to continue to hire, train and manage additional qualified engineers, client and account services personnel, sales and marketing staff, software, manufacturing, distribution and quality assurance personnel in order to develop and launch new products, innovate and improve our existing products and successfully commercialize our platform and solutions. We may also need to hire, train and manage individuals with expertise that is separate, supplemental or different from expertise that we currently have, and accordingly we may not be successful in hiring, training and managing such individuals. If our new hires perform poorly, if we are unsuccessful in hiring, training, managing and integrating these new employees, or if we are not successful in retaining our existing employees, our business may be harmed. In addition, our compensation arrangements, such as our equity award programs, may not always be successful in attracting new</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and retaining and motivating our existing employees. We may need to issue additional equity securities to attract job candidates or issue</w:t>
      </w:r>
    </w:p>
    <w:p>
      <w:pPr>
        <w:spacing w:after="0" w:line="5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 securities to retain personnel. In making employment decisions, job candidates and existing personnel often consider the value of the equity awards they would receive in connection with their employment and fluctuations in our stock price, or a perception that the market price of our stock may not increase or may increase more slowly than stock prices at other companies, may make it more difficult to attract, retain, and motivate employees.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we have grown, our employees have become more geographically dispersed. We serve customers located in multiple countries and plan to continue to expand to new countries as part of our growth strategy, which will lead to increased dispersion of our employees, including sales employees and employees who are in our service and support groups. We may face challenges integrating, developing and motivating our rapidly growing and increasingly dispersed employee base.</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may not be able to maintain the quality, reliability or robustness of our platform, or the expected turnaround times of our services and support, or to satisfy customer demand as it grows. Our ability to manage our growth properly will require us to continue to improve our operational, financial and management controls, as well as our reporting systems and procedures. To effectively manage our growth, we must continue to improve our operational and manufacturing systems and processes, our financial systems and internal controls and other aspects of our business and continue to effectively expand, train and manage our personnel. The time and resources required to improve our existing systems and procedures, implement new systems and procedures and to adequately staff such existing and new systems and procedures is uncertain, and failure to complete such activities in a timely and efficient manner could adversely affect our operations and negatively impact our business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we may be unable to increase or sustain our revenue, or achieve and sustain profitability.</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We currently primarily compete with established companies that provide consumables for MQC testing and with a limited number of established and early-stage companies that have automated MQC testing systems. In addition, our customers may also elect to continue to use the traditional MQC testing method rather than our platform and may decide to stop using our platform.</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competitors and potential competitors may enjoy a number of competitive advantages over us, including:</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and market penetration;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technological and research and development resources;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system reliability, robustness and features;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selling and marketing capabilities;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established, larger scale and lower cost manufacturing capabilities.</w:t>
      </w:r>
    </w:p>
    <w:p>
      <w:pPr>
        <w:spacing w:after="0" w:line="22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a result, our competitors and potential competitors may be able to respond more quickly to changes in customer requirements, devote greater resources to the development, promotion and sale of their platforms or systems than we can or sell their platforms or systems, or offer services competitive with our platform and services at prices designed to win significant levels of market share. We may not be able to compete effectively against these organizations.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Further, competition in the automated MQC testing market, while currently limited, is growing and may continue to increase in future, and we may not be able to maintain our leading position in the industry as a result. If we are unable to compete successfully, we may be unable to increase market adoption and sales of our platform, which could prevent us from increasing our revenue or achieving profitability.</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develop new products, adapt to rapid and significant technological change and respond to introductions of new products by competitors to remain competitive.</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sell our products in industries that are characterized by significant enhancements and evolving industry standards. As a result, our customers’ needs are rapidly evolving. If we do not appropriately innovate and invest in new technologies, our products and services may become less desirable in the markets we serve, and our customers could move to new technologies offered by our competitors or decide to revert to the traditional MQC testing method. Although we believe customers in our markets display a significant amount of loyalty to their supplier of a particular product, we also believe that because of the initial time investment required by many of our customers to reach a purchasing decision for a new product, it may be difficult to regain that customer once the customer migrates away from using our solutions to that of a competitor. Without the timely introduction of new products, services and enhancements, our offerings will likely become less competitive over time, thus harming our competitive position. In some instances, specific circumstances of particular customer(s) may require us to innovate on our products to meet those needs, and failure to do so may hinder our ability to sell our solutions to or maintain our relationships with those customer(s). Accordingly, we focus significant efforts and resources on the development and identification of new technologies, products and markets to further broaden our offerings. For example, our Growth Direct platform relies on machine learning to train its vision algorithms for the detection of microbial growth, a technological field that is undergoing immense and rapid innovation. If we are unable to capitalize on this innovation and effectively use and deploy AI and machine learning technologies and integrate them into our existing and future product offerings and services, the competitiveness of our platform in our marketplace could be undermined. To the extent we fail to timely introduce new and innovative products or services, adequately predict our customers’ needs or fail to achieve market acceptance, our business may suffer and our operating results could be adversely affected.</w:t>
      </w:r>
    </w:p>
    <w:p>
      <w:pPr>
        <w:spacing w:after="0" w:line="192"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to enable access in new markets, we must make strategic and operational decisions to prioritize certain markets, products and services. We may expend our resources to access markets and develop products and services that do not yield meaningful revenue or we may fail to capitalize on markets, products or services that may be more profitable or with a greater potential for success.</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believe our platform has potential applications across a wide range of markets and we have targeted certain markets in which we believe our technology has significant advantages or a higher probability of success or greater revenue opportunity, such as the manufacture of cell and gene therapies. We seek to maintain a process of prioritization and resource allocation among our programs to maintain a balance between advancing near-term opportunities and exploring</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additional markets for our platform. However, due to the significant resources required for the development of products and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 or service and may divert resources away from better opportunities. Similarly, we may choose to pursue certain markets, which may not be as profitable as other markets that we did not pursue due to our limited resources. As a result, our business, financial condition, results of operations and prospects could be adversely impacted.</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Direct platform may contain undetected errors or defects or may not otherwise meet the expectations of our customers, which means our business, financial condition, results of operations and prospects could suffer.</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Growth Direct platform includes the Growth Direct system, proprietary consumables and our laboratory information management system ("LIMS") connection and other software. There could be undetected errors or defects despite our rigorous testing of our platform and its components, and the Growth Direct platform may otherwise not meet the expectations of our customers. Disruptions or other performance problems with our platform or with the components that comprise our platform may adversely impact our customers’ manufacturing process, compliance workflow or business, harm our reputation and result in reduced revenue or increased costs, such as those associated with repairs, replacements or reacquisitions of our systems. If such challenges occur, the attention of our key personnel could be diverted, or other significant customer relations problems may arise. We may also be subject to warranty claims or breach of contract for damages related to errors or defects in our products. Additionally, we may be subject to legal claims arising from any defects or errors in our platform, and in the systems, consumables and software that comprise our platform. In the past, we have repaired, and in exceptional cases, replaced or reacquired Growth Direct systems under warranty. In addition, we have undertaken, and in the future may undertake, goodwill and customer satisfaction initiatives that involve the shipping of additional or replacement deliveries of our products, such as consumables, at no charge to customers. All of the foregoing adversely impact our gross margins and have required, and may in the future require, the expenditure of resources. Our failure to prevent or adequately address any of foregoing risks could have a material adverse effect on our business, operating results and financial condition.</w:t>
      </w:r>
    </w:p>
    <w:p>
      <w:pPr>
        <w:spacing w:after="0" w:line="18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on, among other things, the market’s confidence that the Growth Direct platform is capable of substantially enhancing quality control in the conduct of manufacturing activities as compared to the traditional method of MQC testing or that of competitive products, and will enable more efficient or improved drug manufacturing. Pharmaceutical companies and contract development and manufacturing organizations ("CDMOs"), are likely to be particularly sensitive to defects and errors in the use of our platform, including if our platform fails to deliver meaningful improvements in MQC testing with results at least as good as the results generated using the traditional method of MQC testing, or new methods of automated MQC testing being developed and sold by emerging competitors. There can be no guarantee that our platform will meet the expectations or needs of these companies or CDMOs.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complexity of our products and the amount of lead time required to deliver products to our customers have caused in the past, and may cause in the future, delays in releasing new products and workflows. In addition, we have experienced in the past, and may experience in the future, challenges with our products, such as the reliability of our systems. If there are delays in delivering our products to our customers, or if our products fail to perform as well as or better than traditional MQC testing and competitive products or fail to generate reliable results for our customers, or our products otherwise fail to meet our customers’ expectations our revenue could be reduced or delayed, which could adversely affect our business, financial condition, results of operations and prospects.</w:t>
      </w:r>
    </w:p>
    <w:p>
      <w:pPr>
        <w:spacing w:after="0" w:line="187" w:lineRule="exact"/>
        <w:rPr>
          <w:sz w:val="20"/>
          <w:szCs w:val="20"/>
          <w:color w:val="auto"/>
        </w:rPr>
      </w:pPr>
    </w:p>
    <w:p>
      <w:pPr>
        <w:ind w:right="440" w:firstLine="324"/>
        <w:spacing w:after="0" w:line="261" w:lineRule="auto"/>
        <w:rPr>
          <w:sz w:val="20"/>
          <w:szCs w:val="20"/>
          <w:color w:val="auto"/>
        </w:rPr>
      </w:pPr>
      <w:r>
        <w:rPr>
          <w:rFonts w:ascii="Times New Roman" w:cs="Times New Roman" w:eastAsia="Times New Roman" w:hAnsi="Times New Roman"/>
          <w:sz w:val="18"/>
          <w:szCs w:val="18"/>
          <w:color w:val="auto"/>
        </w:rPr>
        <w:t>These complexities also require that we train our customers to operate our Growth Direct platform, which is expensive and time consuming. Any misuse of our products, including as a result of inadequate training, could cause our products not to perform as expected or to fail to demonstrate the process advantages of our products. The training requirement may also deter some customers from utilizing our products. Any of these results could adversely affect our business, financial condition, results of operations and prospects.</w:t>
      </w:r>
    </w:p>
    <w:p>
      <w:pPr>
        <w:spacing w:after="0" w:line="17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use of any product we may develop and the sale of any products exposes us to the risk of product liability claims. Product liability claims might be brought against us by pharmaceutical companies, contract organizations or others selling or otherwise coming into contact with our products. If we cannot successfully defend against product liability claims, we</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incur substantial liability and costs. In addition, regardless of merit or eventual outcome, product liability claims may result in:</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claimants;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a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withdrawals;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market demand for any product;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product liability insurance we currently carry, and any additional product liability insurance coverage we acquire in the future, may not be sufficient to reimburse us for any expenses or losses we may suffer. In the future, we may not be able to maintain insurance coverage at a reasonable cost or in sufficient amounts to protect us against losses due to liability. A successful product liability claim, or series of claims, brought against us could cause our share price to decline and, if judgments exceed our insurance coverage, could adversely affect our results of operation and business, including preventing or limiting the commercialization of any products we develop.</w:t>
      </w:r>
    </w:p>
    <w:p>
      <w:pPr>
        <w:spacing w:after="0" w:line="1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cannot recruit qualified employees, directors, officers or other significant personnel or experience increases in our compensation costs, our business may be materially harmed.</w:t>
      </w:r>
    </w:p>
    <w:p>
      <w:pPr>
        <w:spacing w:after="0" w:line="15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and directors, including our Chief Executive Officer, Robert Spignesi, among others. Due to the specialized knowledge each of our officers and key employees possesses with respect to our products and services and our operations, the loss of service of any of our officers or directors could delay or prevent successful sales and the expansion of our platform. We do not carry key person life insurance on our Chief Executive Officer or our other officers or directors. In general, the employment arrangements that we have with our executive officers do not prevent them from terminating their employment with us at any time.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market and sell our products successfully. Competition to hire from this limited pool is intense, and we may be unable to hire, train, retain or effectively incentivize these additional key personnel on acceptable terms given the competition among numerous technology companies for similar personnel. If we are unable to attract qualified personnel and retain our current employees, our ability to develop and sell our products could be limited and our business and customer relationships could be materially harmed.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("IT") systems, and any failure of these systems could harm our business.</w:t>
      </w:r>
    </w:p>
    <w:p>
      <w:pPr>
        <w:spacing w:after="0" w:line="22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We depend on information technology and telecommunications systems for significant elements of our operations, including our knowledge management system, our customer reporting, our platform, advanced automation systems, and advanced application and LIMS connection software. We have installed, and expect to expand, a number of enterprise software systems that affect a broad range of business processes and functional areas, including for example, systems handling human resources, financial controls and reporting, contract management, compliance and other infrastructure operations. These implementations can be expensive and require significant time and effort. These IT and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telecommunications systems support a variety of functions, including manufacturing operations, data analysis, quality control, customer service and support, billing, research and development activities, and general administrative activities.</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IT and telecommunications systems are vulnerable to damage from a variety of sources, including telecommunications or network failures, malicious software, bugs or viruses, human acts and natural disasters. For example, in July 2024, many industries and businesses were disrupted globally by a software glitch associated with CrowdStrike's cybersecurity software. While we did not experience material downtime in our IT systems, similar events in the future may disrupt our operations. Moreover, despite network security and back-up measures, our servers remain potentially vulnerable to physical or electronic break-ins, computer viruses and similar disruptive problems. Any disruption or loss of IT or telecommunications systems on which critical aspects of our operations depend could have an adverse effect on our business and our reputation.</w:t>
      </w:r>
    </w:p>
    <w:p>
      <w:pPr>
        <w:spacing w:after="0" w:line="18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incidents and data breaches, data loss and other disruptions could compromise our confidential and/or proprietary information and other sensitive information related to our business or prevent us from accessing critical information and expose us to liability, which could adversely affect our business and our reputation.</w:t>
      </w:r>
    </w:p>
    <w:p>
      <w:pPr>
        <w:spacing w:after="0" w:line="161"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personal information, intellectual property and proprietary business information owned or controlled by ourselves or our employees, customers and other parties. We manage and maintain our applications and data utilizing a combination of on-site systems and cloud-based data centers. We utilize external security and infrastructure vendors to manage parts of our data centers. These applications and data encompass a wide variety of business-critical information, including research and development information, customer information, commercial information and business and financial information. We, like all companies storing business-critical information, face a number of risks relative to protecting this critical information, including loss of access, inappropriate use or disclosure, unauthorized access or exfiltration, inappropriate modification, inappropriate destruction, and the risk of our being unable to adequately monitor and audit and modify our controls over our critical information. This risk extends to the third-party vendors and subcontractors we use to manage this sensitive data or otherwise process it on our behalf. The secure processing, storage, maintenance and transmission of this critical information are vital to our operations and business strategy, and we devote significant resources to protecting such information.</w:t>
      </w:r>
    </w:p>
    <w:p>
      <w:pPr>
        <w:spacing w:after="0" w:line="206"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Although we take measures to protect sensitive data from unauthorized access, use or disclosure, our IT and infrastructure may still be vulnerable to, and we have in the past experienced and may continue to experience in the future, attacks by hackers or viruses or data breaches due to employee error, malfeasance or other malicious or inadvertent disruptions. We may also face increased cybersecurity risks due to our reliance on internet technology and the number of our employees who are working remotely, which may create additional opportunities for cybercriminals to exploit vulnerabilities. Furthermore, the use of AI technologies by us and third-party vendors can also give rise to cybersecurity risks as well as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AI tools. Any of these effects could damage our reputation, result in the loss of valuable property and information, cause us to breach applicable laws and regulations, and adversely impact our business.</w:t>
      </w:r>
    </w:p>
    <w:p>
      <w:pPr>
        <w:spacing w:after="0" w:line="19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Further, attacks upon IT systems, including ransomware attacks and digital extortion, business email compromises, social engineering, including phishing attacks, denial of service attacks, computer malware, malicious codes, viruses, wrongful intrusions, wrongful conduct by insider employees or vendors, data breaches, and other malicious internet-based activity are increasing in their frequency, levels of persistence, sophistication and intensity, and are being conducted by sophisticated and organized groups and individuals with a wide range of motives, capabilities, and expertise, and may be enhanced or facilitated by AI. For example, bad actors around the world are increasingly using AI to engage in illegal activities involving the theft and misuse of personal information, confidential information and intellectual property. Furthermore, because the techniques used to obtain unauthorized access to, or to sabotage, systems change frequently and often are not recognized until launched against a victim entity, we may be unable to anticipate these techniques or implement adequate preventative measures. While we have measures in place to identify, detect and mitigate security threats and incidents, they are not failproof, so we may also experience security incidents that may remain undetected for an extended period. Any such incident could result in the compromise of our information systems, and the data stored there could be accessed, encrypted, corrupted, modified, publicly disclosed, lost or stolen. Any such incident could result in legal notifications and/or disclosures, as well as legal claims or proceedings, including for breaches of confidential information obligations with contractual counterparties, and liability under federal or state laws that protect the privacy of personal information, and regulatory penalties. Notice of cybersecurity incidents and data breaches may be required to affected individuals, customers, or other state, federal or foreign regulators, and for extensive breaches, notice may need to be made to the media or State Attorneys General. Such a notice could harm our reputation and our ability to compete. Although we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have implemented security measures to prevent, detect and respond to security incidents, our data is currently accessible through multiple channels, and there is no guarantee we can protect our data from breach. Unauthorized access to our information systems, and the loss, destruction or, dissemination of data stored within them could also disrupt or halt our operations and damage our reputation, any of which could adversely affect our business.</w:t>
      </w:r>
    </w:p>
    <w:p>
      <w:pPr>
        <w:spacing w:after="0" w:line="20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subject to, and may in the future become subject to additional, U.S., state, federal, and foreign laws and regulations imposing obligations on how we collect, store, safeguard and process personal information. Our actual or perceived failure to comply with such obligations could harm our business. Our efforts to comply with such laws could require significant resources and expenses and also impair our efforts to maintain and expand our customer base, and thereby decrease our revenue.</w:t>
      </w:r>
    </w:p>
    <w:p>
      <w:pPr>
        <w:spacing w:after="0" w:line="167" w:lineRule="exact"/>
        <w:rPr>
          <w:sz w:val="20"/>
          <w:szCs w:val="20"/>
          <w:color w:val="auto"/>
        </w:rPr>
      </w:pPr>
    </w:p>
    <w:p>
      <w:pPr>
        <w:ind w:right="140" w:firstLine="324"/>
        <w:spacing w:after="0" w:line="241"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and regulations, as well as contractual obligations, relating to data privacy and security of personal information we collect and process. The regulatory environment in the U.S. and abroad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84"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color w:val="auto"/>
        </w:rPr>
        <w:t>In the United States, various federal and state laws relating to the privacy and security of personal information impose obligations on how we collect, store, use, transmit, secure, and otherwise process such data. These laws, such as Section 5 of the Federal Trade Commission Act, the California Consumer Privacy Act ("CCPA") and numerous other U.S. state consumer privacy laws, generally provide consumers right to restrict our use of their personal information and limit our disclosure to third parties. The CCPA, for example, establishes data privacy rights for California residents and obligates covered businesses to comply with specific requirements related to data use, transparency, deletion, and opt-out of the selling or sharing of personal information. Certain state laws may be more stringent or broader in scope, or offer greater individual rights, with respect to personal information than federal, international or other state laws, and such laws may differ from each other, all of which may complicate compliance efforts. Such laws may have potentially conflicting requirements that would make compliance challenging.</w:t>
      </w:r>
    </w:p>
    <w:p>
      <w:pPr>
        <w:spacing w:after="0" w:line="187"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More than a dozen other U.S. states have passed their own comprehensive privacy laws with more expected to pass in the coming years. Such laws may add additional complexity, variation in requirements, restrictions and potential legal risk, require additional investment of resources in compliance programs, impact strategies and the availability of previously useful data and could result in increased compliance costs and/or adverse changes in business data collection and use practices and policies. Some states have also either passed or proposed privacy and data protection legislation specifically protecting health-related information. The existence of varying and potentially conflicting comprehensive privacy laws in different U.S. states could make our</w:t>
      </w:r>
    </w:p>
    <w:p>
      <w:pPr>
        <w:spacing w:after="0" w:line="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compliance obligations more complex, may require us to expend significant resources in connection with our compliance efforts and subject us to enforcement actions or otherwise incur liability for any actual or perceived noncompliance, including litigation, enforcement actions and reputational harm leading to a loss of existing and future business.</w:t>
      </w:r>
    </w:p>
    <w:p>
      <w:pPr>
        <w:spacing w:after="0" w:line="184"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18"/>
          <w:szCs w:val="18"/>
          <w:color w:val="auto"/>
        </w:rPr>
        <w:t>Internationally, laws, regulations and standards in many jurisdictions apply broadly to the collection, use, retention, security, disclosure, transfer and other processing of personal information. For example, with respect to the collection and processing of personal data relating to our personnel, customers and establishments in Europe, we are subject to the EU General Data Protection Regulation ("EU GDPR"), the UK General Data Protection Regulation ("UK GDPR"), as well as applicable data protection laws in effect in the Member States of the EEA and in the UK (including the UK Data Protection Act 2018) which govern the processing of personal data in connection with (a) our offering of goods or services to/the monitoring of the behavior of individuals in the UK and EEA; or (b) the activities of any of our establishments in the UK or any EEA Member State, such as our German subsidiary. In this Quarterly Report on Form 10-Q, references to “GDPR” encompass both the EU GDPR and UK GDPR, unless specific otherwise. The GDPR is wide-ranging in scope and imposes numerous requirements on companies that process personal data, including requiring disclosures to individuals regarding data processing activities, requiring that safeguards are implemented to protect the security and confidentiality of personal data, limiting retention periods for personal data, creating mandatory data breach notification requirements in certain circumstances, and requiring that certain measures (including contractual requirements) are put in place when engaging third-party processors. The GDPR also imposes strict rules on the transfer of personal data to countries outside the EEA or the U.K., including transfers of personal data from Europe to the United States in certain circumstances. Any inability to</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transfer personal data from Europe to the United States in compliance with data protection laws may impede our operations and may adversely affect our business and financial position. Switzerland has also implemented data protection laws with similar obligations and triggers to the GDPR which we may be subject to in connection with our Swiss subsidiary, personnel and customers.</w:t>
      </w:r>
    </w:p>
    <w:p>
      <w:pPr>
        <w:spacing w:after="0" w:line="177" w:lineRule="exact"/>
        <w:rPr>
          <w:sz w:val="20"/>
          <w:szCs w:val="20"/>
          <w:color w:val="auto"/>
        </w:rPr>
      </w:pPr>
    </w:p>
    <w:p>
      <w:pPr>
        <w:ind w:right="260" w:firstLine="324"/>
        <w:spacing w:after="0" w:line="245" w:lineRule="auto"/>
        <w:rPr>
          <w:sz w:val="20"/>
          <w:szCs w:val="20"/>
          <w:color w:val="auto"/>
        </w:rPr>
      </w:pPr>
      <w:r>
        <w:rPr>
          <w:rFonts w:ascii="Times New Roman" w:cs="Times New Roman" w:eastAsia="Times New Roman" w:hAnsi="Times New Roman"/>
          <w:sz w:val="18"/>
          <w:szCs w:val="18"/>
          <w:color w:val="auto"/>
        </w:rPr>
        <w:t>The complex and evolving nature of data protection laws and regulations may lead to additional compliance costs, including as a result of diverging international data privacy laws and regulations and related uncertainties. There can be no assurances that we will be successful in our efforts to comply with the multitude of U.S., state, federal, and foreign privacy and data security laws, and violations of such laws could result in regulatory investigations and significant fines, as well as civil claims including class actions, and reputational damage.</w:t>
      </w:r>
    </w:p>
    <w:p>
      <w:pPr>
        <w:spacing w:after="0" w:line="167" w:lineRule="exact"/>
        <w:rPr>
          <w:sz w:val="20"/>
          <w:szCs w:val="20"/>
          <w:color w:val="auto"/>
        </w:rPr>
      </w:pPr>
    </w:p>
    <w:p>
      <w:pPr>
        <w:ind w:firstLine="324"/>
        <w:spacing w:after="0"/>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 Rule, implemented as of January 8, 2025,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20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Like many companies, we use AI and machine learning technologies, including generative AI, to efficiently grow and manage our business. These technologies have increasingly been the focus of attention for lawmakers and regulators around the globe.</w:t>
      </w:r>
    </w:p>
    <w:p>
      <w:pPr>
        <w:spacing w:after="0" w:line="17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use of AI tools by our employees or third parties on which we relay may increase over time and may lead to unauthorized or unintended disclosures of confidential information (including personal information or proprietary data). In addition, we may use AI outputs to inform certain decisions we make, and the outputs we rely on may be incomplete, inaccurate, or otherwise flawed, despite appearing to be accurate and reliable. Potential flaws in the AI tools that we use, or our incorrect application of them, could cause us to make decisions that unfairly bias certain individuals or classes of individuals and adversely impact their rights. As a result, we could face adverse consequences, including exposure to reputational and competitive harm, loss of business, and legal and contractual liabilities.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 growing number of legislators and regulators are adopting laws and regulations and have focused enforcement efforts on the adoption of AI, and use of such technologies in compliance with safety requirements, intellectual property and privacy laws, ethical standards and societal expectations. In addition, U.S. states and the federal government have adopted a wide variety of measures to regulate various facets of AI development, deployment, and use in recent years, and it is possible that new laws and regulations will be adopted in the near future, or that existing laws and regulations may be interpreted in ways that would affect our business and the ways in which we and our customers use our AI technologies, our financial condition and our results of operations, including as a result of the cost to comply with such laws or regulations.</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Outside the U.S., lawmaking and regulation relating to AI is proceeding at a similar pace, which also may increase our compliance burden and costs in connection with our use of AI and lead to legal liability if we fail to meet evolving legal standards or if use of such technologies results in harms or other causes of action we did not predict.</w:t>
      </w:r>
    </w:p>
    <w:p>
      <w:pPr>
        <w:spacing w:after="0" w:line="17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evaluate strategic opportunities for our business, including through acquisitions, joint ventures or investments in other companies or technologies that could negatively affect our operating results, dilute our stockholders’ ownership, increase our debt or cause us to incur significant expense.</w:t>
      </w:r>
    </w:p>
    <w:p>
      <w:pPr>
        <w:spacing w:after="0" w:line="175" w:lineRule="exact"/>
        <w:rPr>
          <w:sz w:val="20"/>
          <w:szCs w:val="20"/>
          <w:color w:val="auto"/>
        </w:rPr>
      </w:pPr>
    </w:p>
    <w:p>
      <w:pPr>
        <w:ind w:right="200" w:firstLine="324"/>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opportunistically pursue acquisitions of businesses and assets that we believe may be complementary or synergistic with our own, or strategic alliances and joint ventures that leverage our technology and industry experience to expand our offerings or distribution. We have no experience with acquiring other businesses or assets and limited experience with forming strategic partnerships. We may not be able to find suitable collaborators or acquisition candidates, and we may not be able to complete such transactions on favorable terms, if at all. The competition for collaborators or acquisition candidates may be intense, and the negotiation process will be time consuming and complex. If we make any acquisitions, we may not be able to integrate these acquisitions successfully into our existing business, these acquisitions may not strengthen our competitive position, the transactions may be viewed negatively by customers or investors, we may be unable to retain key employees of any acquired business, relationships with key suppliers, manufacturers or customers of any acquired business may be impaired due to changes in management and ownership, and we could assume unknown or contingent liabilities. Any future acquisitions also could result in contingent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liabilities or future write-offs of intangible assets or goodwill, any of which could have a material adverse effect on our business, financial condition, results of operations and prospects. We cannot guarantee that we will be able to fully recover the costs of any acquisition. Integration of an acquired company also may disrupt ongoing operations and require management resources that we would otherwise focus on developing our existing business. We may not realize the anticipated benefits of any acquisition, technology license, strategic alliance or joint venture. We also may experience losses related to investments in other companies, which could have a material adverse effect on our business, financial condition, results of operations and prospects.</w:t>
      </w:r>
    </w:p>
    <w:p>
      <w:pPr>
        <w:spacing w:after="0" w:line="183"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To fund any such acquisitions or joint ventures, we may choose from a number of financing alternatives that may be accompanied by drawbacks. For example, if we incur debt, we may be required to abide by restrictive covenants or grant security interests in our assets to secure such debt. If we issue equity as consideration, such issuances would dilute the ownership of our stockholders or, in the case of preferred equity, may impose preferential terms that are senior to those of our common stockholders. Additional funds may not be available on terms that are favorable to us, or at all. If the price of our Class A common stock is low or volatile, we may not be able to acquire companies or fund a joint venture project using our stock as consideration.</w:t>
      </w:r>
    </w:p>
    <w:p>
      <w:pPr>
        <w:spacing w:after="0" w:line="17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intended benefits of our strategic partnerships and other collaborations, and such relationships may introduce additional risks to our business.</w:t>
      </w:r>
    </w:p>
    <w:p>
      <w:pPr>
        <w:spacing w:after="0" w:line="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We have entered and continue to seek to enter into strategic partnerships and other kinds of collaborations as part of our business strategy. While we believe that these and similar relationships are critical to our ability to innovate, expand our market reach and deliver comprehensive solutions to our customers, they involve numerous risks and uncertainties. We may not achieve the expected benefits from these types of strategic collaborations and these relationships may introduce complexities and risks into our business.</w:t>
      </w:r>
    </w:p>
    <w:p>
      <w:pPr>
        <w:spacing w:after="0" w:line="216"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For example, in January 2025, we announced that Lonza successfully integrated our Growth Direct system with its MODA-EM module to combine paperless processes with automated microbial enumeration for pharmaceutical quality control, as discussed further under Item 1. Business – </w:t>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MODA® Platform </w:t>
      </w:r>
      <w:r>
        <w:rPr>
          <w:rFonts w:ascii="Times New Roman" w:cs="Times New Roman" w:eastAsia="Times New Roman" w:hAnsi="Times New Roman"/>
          <w:sz w:val="18"/>
          <w:szCs w:val="18"/>
          <w:color w:val="auto"/>
        </w:rPr>
        <w:t>in our Annual Report on Form 10-K. There can be no assurance that the benefits observed by Lonza will be replicated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 of other customers, or that such benefits, even if achieved by other customers, will drive further market adoption of our platform. In addition, as a large, multinational manufacturing company, Lonza may seek similar collaboration opportunities to integrate other technologies and platforms, including those of our competitors. As a result, despite the current integration of our Growth Direct system with Lonza’s MODA-EM module, we may not experience increased sales of our products.</w:t>
      </w:r>
    </w:p>
    <w:p>
      <w:pPr>
        <w:spacing w:after="0" w:line="216"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 xml:space="preserve">In addition, in February 2025, we entered into a Distribution and Collaboration Agreement (the "Distribution Agreement") with Millipore S.A.S., a subsidiary of the Life Science business of Merck KGaA, Darmstadt, Germany, which operates in the U.S. as MilliporeSigma, pursuant to which we granted our collaborator the co-exclusive right to distribute certain of our products, as discussed further under Item 1. Business – </w:t>
      </w:r>
      <w:r>
        <w:rPr>
          <w:rFonts w:ascii="Times New Roman" w:cs="Times New Roman" w:eastAsia="Times New Roman" w:hAnsi="Times New Roman"/>
          <w:sz w:val="18"/>
          <w:szCs w:val="18"/>
          <w:i w:val="1"/>
          <w:iCs w:val="1"/>
          <w:color w:val="auto"/>
        </w:rPr>
        <w:t>Distribution and 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with Millipore S.A.S. </w:t>
      </w:r>
      <w:r>
        <w:rPr>
          <w:rFonts w:ascii="Times New Roman" w:cs="Times New Roman" w:eastAsia="Times New Roman" w:hAnsi="Times New Roman"/>
          <w:sz w:val="18"/>
          <w:szCs w:val="18"/>
          <w:color w:val="auto"/>
        </w:rPr>
        <w:t>in our Annual Report on Form 10-K. Our ability to generate sales and product revenue under this agreement is 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performance and cooperation of our distributor. Our distributor may not meet its obligations, including with respect to its initial purchase commitments, experience financial difficulties, undergo adverse changes in its business or shift its focus away from selling our products. Furthermore, during the term of the agreement, we are prohibited from engaging other third parties to sell our products so long as a purchase commitment by the distributor is in place. There can be no assurance that our distributor will make additional commitments to purchase our products. The interests of our distributor may diverge from ours, and disagreements over key decisions or strategies could lead to conflict, impaired collaboration or the dissolution of the collaboration. We may not successfully manage channel conflicts with our distributor and our selling efforts to certain customers may overlap with those of our distributor, which may lead to disputes over which party should receive credit for a given sale or which party should manage the customer relationships that are created or deepened during the course of the collaboration. Our distributor is headquartered in France and, as a subsidiary of a large, multinational science and technology company, may have different corporate cultures, operational procedures and business practices, all of which can be challenging to manage. In engaging in its selling and marketing efforts, our distributor may place substantial and time-sensitive demands on the attention and resources of our employees and management, including those related to answering questions and fielding requests from its sales force and otherwise assisting our distributor with its commercial activities in respect of our products, all of which may divert the focus of our personnel.</w:t>
      </w:r>
    </w:p>
    <w:p>
      <w:pPr>
        <w:spacing w:after="0" w:line="2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distribution arrangement includes tier-based transfer pricing on the covered products, which may adversely impact the margins that we achieve on sales of our products. If our distributor achieves commercial traction with our products, we may become reliant on our distributor through increased sales to customers. In addition, as both parties begin to perform</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the services agreement that we recently entered into with our distributor, we may become dependent on this distributor in engaging us to provide our services to certain customers to whom the distributor has the primary responsibility to sell and distribute those services. Similarly, if we enter into a supply agreement as contemplated by our Distribution Agreement, we may become dependent on the distributor as part of our effort to lower the costs of our products. In that event, we may suffer significant and adverse consequences to our business operations, sales, revenue, product margins and customer experience in the event our collaboration is terminated.</w:t>
      </w:r>
    </w:p>
    <w:p>
      <w:pPr>
        <w:spacing w:after="0" w:line="21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Additionally, while our distribution arrangement is global and covers all fields related to industrial quality control applications in the pharmaceutical, medical device, personal care, cosmetics and food and beverage spaces, we have historically focused our selling efforts to pharmaceuticals manufacturers and specifically in North America, Europe and, to a lesser extent, Asia-Pacific. There can be no assurance that our distributor will be successful in achieving market penetration of our products in additional fields or geographies. Expanding the application of our products into such additional fields and geographies may introduce additional risks, including in respect of regulatory and compliance, as we seek to navigate and comply with laws and regulations applicable to such fields and territories. Any non-compliance by us or our distributor with applicable laws and regulations could lead to legal liabilities, financial penalties and reputational damage for us.</w:t>
      </w:r>
    </w:p>
    <w:p>
      <w:pPr>
        <w:spacing w:after="0" w:line="21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these risks and uncertainties, our relationships with current and prospective collaborators may not deliver the expected benefits, and may also introduce risks that could adversely affect our business operations, financial condition, and results of operations.</w:t>
      </w:r>
    </w:p>
    <w:p>
      <w:pPr>
        <w:spacing w:after="0" w:line="158" w:lineRule="exact"/>
        <w:rPr>
          <w:sz w:val="20"/>
          <w:szCs w:val="20"/>
          <w:color w:val="auto"/>
        </w:rPr>
      </w:pPr>
    </w:p>
    <w:p>
      <w:pPr>
        <w:ind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associated with repair or replacement of our products, including due to warranties we provide on our Growth Direct systems and consumables, could have a material adverse effect on our business, financial condition and results of operations.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standard terms and conditions for customers generally provide for a one-year limited assurance warranty on Growth Direct systems, which is included in the sales price. Similarly, from time to time, we have determined, and may in the future determine, to repair, replace or otherwise remedy other products, including our consumables, at no charge to customers. These activities may take the form of goodwill and customer satisfaction initiatives that involve the shipping of additional or replacement deliveries of our consumables. As a result, we have incurred, and may in the future incur, costs associated with our warranties and activities of these types, and these costs could have a material adverse effect on our business, financial condition and results of operations.</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foregoing activities, we establish an accrual for estimated warranty expenses based on historical information, current cost data and future forecasts. We exercise judgment in establishing these reserves, which includes determining the expected product warranty costs using estimated material, labor and other costs, as well as the expected volume of repairs or replacements that we may make. While we believe that historical experience provides a reliable basis for estimating such costs, unforeseen quality issues or component failure rates could cause actual costs to exceed such estimates. As of March 31, 2026, we had $0.9 million reserved for warranty costs. The amounts that we accrue for estimated warranty expenses adversely impact our gross margins. Our warranty activity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and our policies have limits and significant deductibles. Some of the policies we currently maintain include general liability, property, umbrella, cybersecurity, and directors’ and officers’ insurance.</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A successful product liability claim or series of claims in which judgments exceed our insurance coverage could adversely affect our business, financial condition, results of operations and prospects, including preventing or limiting the commercialization of any products we develop.</w:t>
      </w:r>
    </w:p>
    <w:p>
      <w:pPr>
        <w:spacing w:after="0" w:line="183"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Operating as a public company makes it more difficult and more expensive for us to obtain director and officer liability insurance, and we may be required to accept reduced policy limits and coverage, seek alternative insurance options or incur</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substantially higher costs to obtain the same or similar coverage. As a result, it may be more difficult for us to attract and retain qualified people to serve on our board of directors, our board committees or as executive officers. Any significant uninsured liability may require us to pay substantial amounts, which would adversely affect our business, financial condition, results of operations and prospects.</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business strategy includes achieving significant and increasing sales to customers and sites outside of the U.S. As a result, we have established relationships with customers outside of the U.S. and in the future intend to expand our international customer base. To that end, our staff is located in North America, Europe and the Asia-Pacific region, and we intend to further expand our international presence. Doing business internationally involves a number of risks, including:</w:t>
      </w:r>
    </w:p>
    <w:p>
      <w:pPr>
        <w:spacing w:after="0" w:line="180" w:lineRule="exact"/>
        <w:rPr>
          <w:sz w:val="20"/>
          <w:szCs w:val="20"/>
          <w:color w:val="auto"/>
        </w:rPr>
      </w:pPr>
    </w:p>
    <w:p>
      <w:pPr>
        <w:ind w:left="980" w:right="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distributors to obtain approvals to conduct our business in various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intellectual property rights;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enforcing our intellectual property and defending against third-party intellectual property claims;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2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systems and parts and components for systems and consumables, such as import and export controls that apply or may become applicable to our products, or changes in such controls that impact our ability to source, manufacture and deliver products to our customers, as well as transportation delays;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 that limit the ability of marketing, presales, sales, services and support teams to service customers;</w:t>
      </w:r>
    </w:p>
    <w:p>
      <w:pPr>
        <w:spacing w:after="0" w:line="22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that have resulted or could in the future result in tariffs and other protective measures taken by the U.S. or other countries;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the severity and frequency of which may be amplified by global climate change, political and economic instability, including wars, terrorism and political unrest, outbreak of disease, boycotts, curtailment of trade and other business restrictions; and</w:t>
      </w:r>
    </w:p>
    <w:p>
      <w:pPr>
        <w:spacing w:after="0" w:line="16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including severe penalties such as criminal and civil penalties, disgorgement and other remedial measures, that relate to the U.S. Foreign Corrupt Practices Act, the U.K. Bribery Act 2010 and similar anti-bribery and anti-corruption laws in other jurisdictions.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Significant political and economic developments in international markets for which we intend to operate, or the perception that any of them could occur, creates further challenges for operating in these markets in addition to creating instability in global economic conditions.</w:t>
      </w:r>
    </w:p>
    <w:p>
      <w:pPr>
        <w:spacing w:after="0" w:line="1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In addition, in certain geographies, we may need to rely on distributors, partners and other collaborators to penetrate those markets, and there can be no assurance that we will be able to secure relationships with such parties or that such parties will comply with legal and regulatory standards that are applicable to our business.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inflation rates, and the potential for a change in macroeconomic conditions, could negatively impact our revenues and profitability if increases in</w:t>
      </w:r>
    </w:p>
    <w:p>
      <w:pPr>
        <w:spacing w:after="0" w:line="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our Growth Direct systems or a decrease in customer spending results in lower sales. In addition, if our costs increase and we are not able to pass along these price increases to our customers, our net income would be adversely affected, and the adverse impact may be material.</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Increased inflation, and the potential for a change in macroeconomic conditions, may result in decreased demand for our products and services, increased operating costs (including our labor costs), reduced liquidity, and limitations on our ability to access credit or otherwise raise debt and equity capital. Increases in interest rates, especially if coupled with reduced government spending and volatility in financial markets, may have the effect of further increasing economic uncertainty and heightening these risks. Recently imposed and potential future tariffs may have an inflationary effect on the prices of goods and services, including those that we utilize in the production of our products and delivery of our services. In a volatile economic environment, we may be unable to raise the sales prices of our products and services at or above the rate at which our costs increase, which could/would reduce our profit margins and have a material adverse effect on our financial results and net income. We also may experience lower than expected sales and potential adverse impacts on our competitive position if there is a decrease in capital spending by our customers or they have a negative reaction to our pricing. A reduction in our revenue would be detrimental to our profitability and financial condition and could also have an adverse impact on our future growth.</w:t>
      </w:r>
    </w:p>
    <w:p>
      <w:pPr>
        <w:spacing w:after="0" w:line="194"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operating our business, we may experience inflationary pressures on significant cost categories including labor, materials and freight. An inflationary environment, including factors such as tight labor markets and increasing freight and materials prices, could make it more costly for us to do business. In order to meet the compensation expectations of our prospective and current employees due to inflationary factors, we may be required to increase our labor costs, including wages and employee benefits, or risk losing skilled workers to competitors. In addition, disruptions to international logistics and to the supply and cost of fuel resulting from recent conflicts in the Middle East also can contribute to changes in global shipping capacity and demand as well as the cost of raw materials and commodities such as oil (including derivative products including fuel and plastics), all of which could negatively impact our business. If we see additional pressure on our labor, materials and freight costs, we could see negative effects on our results of operations (including product costs), cash flows and overall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instability and geopolitical events could adversely affect our business, financial condition or results of operations.</w:t>
      </w:r>
    </w:p>
    <w:p>
      <w:pPr>
        <w:spacing w:after="0" w:line="25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Our business could be adversely affected by a number of macroeconomic events. These include unstable economic and political conditions within the United States and foreign jurisdictions, including as a result of severe or prolonged economic downturn and geopolitical events, changes in U.S. federal policy that affect the geopolitical landscape and the shutdown of the federal government.</w:t>
      </w:r>
    </w:p>
    <w:p>
      <w:pPr>
        <w:spacing w:after="0" w:line="20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this regard, an unstable, weak or declining economy could result in supply chain disruptions, volatile demand for our products, abrupt changes in our customers’ buying patterns, limitations on our customers’ access to financial resources and ability to satisfy obligations to us, or other adverse impacts to our ability to place our Growth Direct systems. The global credit and financial markets have also generally experienced severe volatility and disruptions. A severe or prolonged economic downturn, such as a global financial crisis, could result in a variety of risks to our business, including preventing us from raising additional capital when needed on acceptable terms, if at all. There can be no assurance that further deterioration in credit and financial markets and confidence in economic conditions will not occur.</w:t>
      </w:r>
    </w:p>
    <w:p>
      <w:pPr>
        <w:spacing w:after="0" w:line="21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Political conditions include changes to policy implemented by the U.S. Congress and presidential administrations, which have impacted and may in the future impact, among other things, the U.S. and global economy, international trade relations, unemployment, immigration, healthcare, taxation, the U.S. regulatory environment, inflation and other areas.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Geopolitical factors, such as international tensions and military conflicts, including the conflict in the Middle East involving the U.S., Iran, Israel and several Gulf States, could adversely affect our business and/or our supply chain, business partners or customers. In the event geopolitical tensions fail to abate or deteriorate further, additional governmental sanctions may be enacted adversely impacting the global economy, its banking and monetary systems, markets or customers for our products. Such political tensions could also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21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particular, we may be vulnerable to certain inflationary effects stemming from these macroeconomic events. For example, a number of jurisdictions have imposed, and have threatened to increase, tariffs on goods shipped to and from the U.S. and other trading nations. Similarly, the conflict in the Middle East has disrupted and may continue to disrupt global supply chains, resulting in higher energy costs and prices of products derived from petroleum. As a result, these events may have an inflationary effect on the prices of goods and services, including those that we utilize in the production of our products and delivery of our services. If we are unable to manage such inflationary pressures, such as by passing along price increases to our customers or reduce product costs or operating expenses in other areas of our business, our gross margins, cash position and other elements of our results of operations may suffer.</w:t>
      </w:r>
    </w:p>
    <w:p>
      <w:pPr>
        <w:spacing w:after="0" w:line="216"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Finally, a government shutdown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consultants and collaborators. Misconduct by these parties could include intentional failures to comply with the applicable laws and regulations in the United States and abroad, report financial information or data accurately or disclose unauthorized activities to us. These laws and regulations may restrict or prohibit a wide range of pricing, discounting and other business arrangements. Such misconduct could result in legal or regulatory sanctions and cause serious harm to our reputation. It is not always possible to identify and deter misconduct, and any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we could be subject to significant civil, criminal and administrative penalties, which could have a material adverse impact on our business. Whether or not we are successful in defending against such actions or investigations, we could incur substantial costs, including legal fees and divert the attention of management in defending ourselves against any of these claims or investigations, which could have a material adverse impact on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primary manufacturing facility or development facility becomes damaged or inoperable or we are required to vacate one or both facilities, our ability to conduct and pursue our manufacturing and/or development efforts would be jeopardized.</w:t>
      </w:r>
    </w:p>
    <w:p>
      <w:pPr>
        <w:spacing w:after="0" w:line="172" w:lineRule="exact"/>
        <w:rPr>
          <w:sz w:val="20"/>
          <w:szCs w:val="20"/>
          <w:color w:val="auto"/>
        </w:rPr>
      </w:pPr>
    </w:p>
    <w:p>
      <w:pPr>
        <w:ind w:right="140" w:firstLine="324"/>
        <w:spacing w:after="0" w:line="237" w:lineRule="auto"/>
        <w:rPr>
          <w:sz w:val="20"/>
          <w:szCs w:val="20"/>
          <w:color w:val="auto"/>
        </w:rPr>
      </w:pPr>
      <w:r>
        <w:rPr>
          <w:rFonts w:ascii="Times New Roman" w:cs="Times New Roman" w:eastAsia="Times New Roman" w:hAnsi="Times New Roman"/>
          <w:sz w:val="18"/>
          <w:szCs w:val="18"/>
          <w:color w:val="auto"/>
        </w:rPr>
        <w:t>We currently conduct our primary development and manufacturing efforts at our facility located in Lowell, Massachusetts, and our primary development efforts at our facility located in Lexington, Massachusetts. Our facilities and equipment could be harmed or rendered inoperable or inaccessible by natural or man-made disasters, the severity and frequency of which may be amplified by global climate change, or other circumstances beyond our control, including fire, power loss, communications failure, war or terrorism, or another catastrophic event, such as a pandemic or similar outbreak or public health crisis, which may render it difficult or impossible for us to support our customers and develop products. The inability to manufacture our systems and consumables could develop if our Lowell, Massachusetts facility is inoperable or suffers a loss of utilization for even a short period of time and may result in the loss of customers or harm to our reputation. Disruptions in our manufacturing operations could also adversely affect our efforts to improve the gross margins of our products. Furthermore, our facilities and the equipment we use to perform our manufacturing and development could be unavailable or costly and time consuming to repair or replace. It would be difficult, time consuming</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and expensive to rebuild our facilities, to locate and qualify a new facility or license or transfer our proprietary technology to a third party. Even in the event we are able to find a third party to assist in manufacturing and development efforts, we may be unable to negotiate commercially reasonable terms to engage with the third party. To mitigate certain of these risks associated with the manufacture of our consumables at our Lowell, Massachusetts facility, our Lexington, Massachusetts facility has been designed to serve as a back-up consumable manufacturing facility if needed. While we believe that we could, if necessary, transfer our manufacturing capabilities to the Lexington, Massachusetts facility, there can be no assurance that we would achieve such transfer in a timely manner or at all and mitigate disruption to our overall business.</w:t>
      </w:r>
    </w:p>
    <w:p>
      <w:pPr>
        <w:spacing w:after="0" w:line="19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manufacturing operations are dependent upon third-party suppliers, including single-source suppliers, making us vulnerable to supply shortages and price fluctuations, which could harm our business.</w:t>
      </w:r>
    </w:p>
    <w:p>
      <w:pPr>
        <w:spacing w:after="0" w:line="18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source the components of our Growth Direct system and consumables from third-party suppliers. We do not have supply agreements with most of our suppliers beyond purchase orders and, although we maintain an inventory of components, forecasted amounts may be inaccurate and we may experience shortages as a result of serious supply problems with these suppliers. There can be no assurance that our supply of components will not be limited, interrupted, or of satisfactory quality or continue to be available at acceptable prices. For example, we experienced disruptions to our supply chain as a result of the coronavirus pandemic and may experience additional disruptions in the future.</w:t>
      </w:r>
    </w:p>
    <w:p>
      <w:pPr>
        <w:spacing w:after="0" w:line="21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Certain critical components of our Growth Direct system and consumables we obtain from single suppliers and the loss of supply from any of these suppliers could materially adversely affect our business. To protect against such loss, we maintain, or are working to obtain, sufficient inventory of these components to allow us to continue to manufacture our systems and consumables during the period required to qualify a new supplier. For example, the manufacturer of the camera used in our Growth Direct system discontinued production of the camera, and we have obtained a supply we believe is sufficient to allow us to meet customer demand while qualifying a new camera supplier. While we believe we have, or will have, sufficient inventory to provide protection against changes in our sole suppliers, our estimates of the length of time required to qualify a new supplier or inventory level required to manufacture our systems and consumables during that time may be incorrect, and we may run out of inventory sooner than we anticipate. In addition, we have not obtained sufficient inventory for all of our single-source components and we may not be able to do so in the amounts we predict will be required. In addition, any change to a new supplier will require us to devote substantial time and resources, result in additional costs, and could involve a period in which our products might not be produced in a timely or consistent manner. We may also be unable to enter into agreements with new suppliers on commercially reasonable terms or at all. The occurrence of any of these events could adversely affect our business and customer relationships. In addition, loss of any critical component provided by a single-source supplier could require us to change the design of our manufacturing process based on the functions, limitations, features and specifications of the replacement components.</w:t>
      </w:r>
    </w:p>
    <w:p>
      <w:pPr>
        <w:spacing w:after="0" w:line="214"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Several other non-critical components and materials that comprise our Growth Direct platform are currently manufactured by a single supplier or a limited number of suppliers. In many of these cases, we have not yet qualified alternate suppliers and rely upon purchase orders, rather than long-term supply agreements. A supply interruption or an increase in demand beyond our current suppliers’ capabilities could harm our ability to manufacture our products unless and until new sources of supply are identified and qualified. Our reliance on these suppliers subjects us to a number of risks that could harm our business, including:</w:t>
      </w:r>
    </w:p>
    <w:p>
      <w:pPr>
        <w:spacing w:after="0" w:line="183"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supply resulting from modifications to or discontinuation of a supplier’s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variation in a component;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long-term supply arrangements for key components with our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supply in a timely manner, or to obtain adequate supply on commercially reasonable terms;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associated with locating and qualifying alternative suppliers for our components in a timely manner;</w:t>
      </w:r>
    </w:p>
    <w:p>
      <w:pPr>
        <w:spacing w:after="0" w:line="22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modification or change in a manufacturing process or part that unknowingly or unintentionally negatively impacts the operation of our products;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from alternative suppliers, and corresponding regulatory qualifications;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delivery due to our suppliers prioritizing other customer orders over ours;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 caused by defective components produced by our suppliers;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 of our warranty program due to product repair or replacement based upon defects in components produced by our suppliers;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delivery by our suppliers due to changes in demand from us or their other customers.</w:t>
      </w:r>
    </w:p>
    <w:p>
      <w:pPr>
        <w:spacing w:after="0" w:line="225" w:lineRule="exact"/>
        <w:rPr>
          <w:sz w:val="20"/>
          <w:szCs w:val="20"/>
          <w:color w:val="auto"/>
        </w:rPr>
      </w:pPr>
    </w:p>
    <w:p>
      <w:pPr>
        <w:ind w:right="180" w:firstLine="324"/>
        <w:spacing w:after="0" w:line="312" w:lineRule="auto"/>
        <w:rPr>
          <w:sz w:val="20"/>
          <w:szCs w:val="20"/>
          <w:color w:val="auto"/>
        </w:rPr>
      </w:pPr>
      <w:r>
        <w:rPr>
          <w:rFonts w:ascii="Times New Roman" w:cs="Times New Roman" w:eastAsia="Times New Roman" w:hAnsi="Times New Roman"/>
          <w:sz w:val="17"/>
          <w:szCs w:val="17"/>
          <w:color w:val="auto"/>
        </w:rPr>
        <w:t>Any interruption in the supply of components or materials, or our inability to obtain substitute components or materials from alternate sources at acceptable prices in a timely manner, could impair our ability to meet the demand of our customers, which would have an adverse effect on our business.</w:t>
      </w:r>
    </w:p>
    <w:p>
      <w:pPr>
        <w:spacing w:after="0" w:line="13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forecast sales to determine requirements for components and materials used in our products, and if our forecasts are incorrect, we may experience delays in shipments or increased inventory costs.</w:t>
      </w:r>
    </w:p>
    <w:p>
      <w:pPr>
        <w:spacing w:after="0" w:line="15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To manage our operations with our third-party suppliers, we forecast anticipated product orders and material requirements to predict our inventory needs and enter into purchase orders on the basis of these requirements. Our limited historical commercial experience and recent growth may not provide us with enough data to consistently and accurately predict future demand. If our business expands and our demand for components and materials increases beyond our estimates, we or our suppliers may be unable to meet our demand. In addition, if we underestimate our component and material requirements, we may have inadequate inventory, which could interrupt, delay, or prevent delivery of our products to our customers. By contrast, if we overestimate our component and material requirements, we may have excess inventory, which would increase our expenses. Any of these occurrences would negatively affect our financial performance and business results.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159"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Shipments of our products are subject to various regulations in the various countries in which we provide our products. For example, shipments of our growth media consumables may be required to comply with the shipping requirements promulgated by the U.S. Department of Transportation and the U.S. Federal Aviation Administration, as well as shipment rules established by the International Air Transport Association. If we are unable to comply with any of these rules or regulations, our ability to deliver our products in a timely manner may be adversely affected. In addition, even if we are able to comply with these rules and regulations, compliance can result in increased costs. In either event, our financial results and condition may be adversely affected.</w:t>
      </w:r>
    </w:p>
    <w:p>
      <w:pPr>
        <w:spacing w:after="0" w:line="16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also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Our products could sustain serious damage or be lost in transit. If a product is damaged in transit, including damage due to consumable temperature excursion, it may result in a substantial delay in the fulfillment of the customer’s order, and depending on the type and extent of the damage and whether the incident is covered by insurance, it may result in a substantial financial loss. If our products are not delivered in a timely fashion or are damaged or lost during the delivery process, our customers could become dissatisfied and cease using our products or services, which would adversely affect our business, financial condition, results of operations and prospects.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biological and hazardous materials that require considerable expertise and expense for handling, storage and disposal and may result in claims against us.</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work with materials, including chemicals, biological agents and compounds that could be hazardous to human health and safety or the environment. Our operations also produce hazardous and biological waste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be subject to fines and penalties. In addition, we cannot eliminate the risk of accidental injury or contamination from these materials or wastes, which could cause an interruption of our commercialization efforts, research and development programs and business operations, as well as environmental damage resulting in costly clean-up and liabilities under applicable laws and regulations. In the event of contamination or injury, we could be liable for damages or penalized with fines in an amount exceeding our resources and our operations could be suspended or otherwise adversely affected. Furthermore, environmental laws and regulations are complex, change frequently and have tended to become more stringent. We cannot predict the impact of such changes and cannot be certain of our future compliance.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technology, including the Growth Direct platform, or if the scope of the intellectual property protection obtained is not sufficiently broad, our competitors could develop and commercialize products similar or identical to ours, and our ability to successfully commercialize our products may be impaired.</w:t>
      </w:r>
    </w:p>
    <w:p>
      <w:pPr>
        <w:spacing w:after="0" w:line="17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maintain, protect or enforce our intellectual property, third parties may be able to compete more effectively against us.</w:t>
      </w:r>
    </w:p>
    <w:p>
      <w:pPr>
        <w:spacing w:after="0" w:line="162"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related to our products and technologies, particularly patents, in the United States and other countries. Obtaining, maintaining and enforcing patents in our industry is costly, time consuming and complex, and we may fail to do so with respect to patents on important products, services and technologies in a timely fashion, at a reasonable cost or at all, in the U.S. or in other potentially relevant jurisdictions. If we delay in filing a patent application, and a competitor files a patent application on the same or a similar technology before we do, we may face a limited ability to secure patent rights. Even if we can patent the technology, the patent may be limited in scope, and such limitation may be inadequate to protect our products, or to block competitor products that are similar or adjacent to ours. In addition, the United States Patent and Trademark Office ("USPTO") and various non-U.S. governmental patent agencies require compliance with a number of procedural, documentary, fee payment and other similar provisions during the patent application process. There are situations in which non-compliance can result in abandonment or lapse of the patent or patent application, resulting in partial or complete loss of patent rights in the relevant jurisdiction. Therefore, these patents and applications may not be prosecuted and enforced in a manner consistent with the best interests of our business.</w:t>
      </w:r>
    </w:p>
    <w:p>
      <w:pPr>
        <w:spacing w:after="0" w:line="20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w:t>
      </w:r>
    </w:p>
    <w:p>
      <w:pPr>
        <w:spacing w:after="0" w:line="176" w:lineRule="exact"/>
        <w:rPr>
          <w:sz w:val="20"/>
          <w:szCs w:val="20"/>
          <w:color w:val="auto"/>
        </w:rPr>
      </w:pPr>
    </w:p>
    <w:p>
      <w:pPr>
        <w:ind w:right="280" w:firstLine="324"/>
        <w:spacing w:after="0" w:line="276"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Some of our patents or patent applications may be challenged in opposition, derivation, reexamination, inter partes review, post-grant review, interference, or in court proceedings. See “</w:t>
      </w:r>
      <w:r>
        <w:rPr>
          <w:rFonts w:ascii="Times New Roman" w:cs="Times New Roman" w:eastAsia="Times New Roman" w:hAnsi="Times New Roman"/>
          <w:sz w:val="17"/>
          <w:szCs w:val="17"/>
          <w:i w:val="1"/>
          <w:iCs w:val="1"/>
          <w:color w:val="auto"/>
        </w:rPr>
        <w:t>—We may become</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involved in lawsuits to protect or enforce our intellectual property, which could be expensive, time consuming and unsuccessful</w:t>
      </w:r>
      <w:r>
        <w:rPr>
          <w:rFonts w:ascii="Times New Roman" w:cs="Times New Roman" w:eastAsia="Times New Roman" w:hAnsi="Times New Roman"/>
          <w:sz w:val="18"/>
          <w:szCs w:val="18"/>
          <w:color w:val="auto"/>
        </w:rPr>
        <w:t>.” Any successful challenge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patents could result in the unenforceability or invalidity of such patents, which could harm our business. In addition, in patent litigation in the United States, defendant counterclaims alleging invalidity or unenforceability are commonplace. The outcome following legal assertions of invalidity and unenforceability during patent litigation is unpredictable. If a defendant were to prevail on a legal assertion of invalidity or unenforceability, we would lose at least part, and perhaps all, of the patent protection on certain aspects of our platform technologies. If the breadth or strength of protection provided by our patents and patent applications is threatened, regardless of the outcome, it could dissuade companies from collaborating with us to license, develop or commercialize current or future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subject to applicable extensions. Once expired, we may be open to competition from competitive products. If one of our products requires extended development or testing, patents protecting such products might expire before or shortly after such products are commercialized. For example, while our patents and, if issued, our patent applications have terms that will expire through 2045, certain of our earlier U.S. patents are scheduled to expire in 2032. Although we own other patents with later expiration dates that cover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various improvements and consumables for the Growth Direct platform, these other patents may not provide the same protection as the earliest-filed patents. As a result, our patent portfolio may not provide us with sufficient rights to exclude others from commercializing similar or identical products to ours, which would have a material adverse effect on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States government may exercise certain rights with regard to certain of our inventions developed using government funding.</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Patent and Trademark Law Amendments Act. Certain of our inventions for which we have pursued, and in some cases obtained, patent protection were developed using federal funding from the U.S. Department of Health and Human Services Biomedical Advanced Research &amp; Development Authority. As a result, the U.S. government may have certain rights, including so-called march-in rights, to any patent rights that were funded in party by the U.S. government and any products or technology developed from such patent rights. When new technologies are developed with U.S. government funding, the U.S. government generally obtains certain rights in any resulting patents, including a nonexclusive license authorizing the U.S. government to use the invention for non-commercial purposes. These rights may permit the U.S. government to disclose our confidential information to third parties and to exercise march-in rights to use or to allow third parties to use our licensed technology. The U.S. government can exercise its march-in rights if it determines that action is necessary because we fail to achieve the practical application of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U.S. government of such rights could harm our business, financial condition, results of operations and prospects.</w:t>
      </w:r>
    </w:p>
    <w:p>
      <w:pPr>
        <w:spacing w:after="0" w:line="1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rely on trade secrets and confidentiality agreements to protect our unpatented know-how, technology and other proprietary information, including parts of our technology platform, and to maintain our competitive position and we expect our reliance to increase in the near term as the terms for certain of our earliest patents expire. Any disclosure, either intentional or unintentional, by our employees, consultants or vendors, or misappropriation by third parties (such as through a cybersecurity breach) of our trade secrets or proprietary information could enable competitors to duplicate or surpass our technological achievements, thus eroding our competitive position in our market. Such risk of disclosure can be increased by our use of AI technologies and can result in misappropriation and other security incidents and breached. From time to time, we may share trade secrets with customers, collaborators, suppliers, vendors and other third parties, which increases the possibility that a competitor will discover them or that our trade secrets will be misappropriated or disclosed.</w:t>
      </w:r>
    </w:p>
    <w:p>
      <w:pPr>
        <w:spacing w:after="0" w:line="192"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Trade secrets and know-how can be difficult and expensive to protect. We take steps to protect our intellectual property and proprietary technology by maintaining physical and electronic security measures and by entering into agreements, including confidentiality, non-disclosure and intellectual property assignment agreements, with our employees, consultants, advisors, collaborators and customers. However, we cannot be certain that such agreements have been entered into with all relevant parties, and we cannot be certain that our trade secrets and other confidential proprietary information will not be disclosed or that competitors will not otherwise gain access to our trade secrets or independently develop substantially equivalent information and techniques. For example, if any of these parties breach the agreements and disclose our proprietary information, including our trade secrets, we may expend significant time and resources to assert our rights against such parties and we ultimately may not be able to obtain adequate remedies for such breaches. Such agreements may not be enforceable or may not provide meaningful protection in the event of unauthorized use or disclosure or other breaches of the agreements, and we may not be able to prevent such unauthorized disclosure, which could materially adversely impact our business and financial position.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intend to continue to expand our commercial operations in territories outside the United States, including in Europe and the Asia-Pacific region. The laws of some foreign countries do not protect intellectual property rights to the same extent as the laws of the United States, and we may encounter difficulties in protecting and defending such rights in foreign jurisdictions. Consequently, we may not be able to prevent third parties from practicing our inventions in some or all countries outside the United States, or from selling or importing products made using our inventions in and into the United States or other jurisdictions. In addition, certain countries have compulsory licensing laws under which a patent</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5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diluted, circumvented, declared generic or determined to be infringing on other marks. We may not be able to protect our rights in these trademarks or trade names or may be forced to stop using these names, which we need for name recognition by potential partners or customers in our markets of interest. We have not yet registered certain of our trademarks in all of our potential markets. During the trademark registration process, we may receive objections that we may be unable to overcome. In addition, third parties may be given an opportunity to oppose pending trademark applications and/or to seek the cancellation of registered trademarks. If we are unable to obtain a registered trademark or establish name recognition based on our trademarks and trade names, we may not be able to compete effectively and our business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and ownership of our patents and other intellectual property.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trade secrets or other intellectual property as an inventor or by contract.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our development activities or as a result of questions regarding co-ownership of potential joint inventions. Litigation may be necessary to defend against these and other claims challenging inventorship of patents, trade secrets or other intellectual property.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important intellectual property. Even if we are successful in defending against such claims, litigation could result in substantial costs and be a distraction to management and other employees, and certain customers or partners may defer engaging with us until the particular dispute is resolved.</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business, financial condition, results of operations and prospects.</w:t>
      </w:r>
    </w:p>
    <w:p>
      <w:pPr>
        <w:spacing w:after="0" w:line="18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claiming that we have infringed on a third party’s intellectual property, which could be time consuming and costly and may adversely affect our business, financial condition, results of operations and prospects.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may be involved with litigation or actions at the USPTO or foreign patent offices with various third parties that claim we or our collaborators or customers using our solutions and services have infringed, misappropriated or misused other parties’ intellectual property rights. We expect that the number of such claims may increase as the number of our products grows, we expand our market share and the level of competition in our markets increases. Furthermore, our use of AI technologies can also increase this risk and expose us to additional claims of misappropriation. Moreover, as the automated MQC testing industry expands and more patents are issued, the risk increases that our products may be subject to claims of infringement of third-party patent and other proprietary rights. Any infringement claim, regardless of its validity, could harm our business by, among other things, resulting in time consuming and costly litigation, diverting management’s time and attention from the development of the business, requiring the payment of monetary damages, fees and expenses or royalty payments, or result in potential or existing customers delaying purchases of our products or entering into engagements with us pending resolution of the dispute.</w:t>
      </w:r>
    </w:p>
    <w:p>
      <w:pPr>
        <w:spacing w:after="0" w:line="188"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prevail in any suit initiated against us by third parties, successfully settle or otherwise resolve patent infringement claims. Third parties making claims against us may be able to obtain injunctive or other relief, which could block our ability to develop, commercialize and sell products or services, and could result in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and incur significant costs, in product or service introductions while we attempt to develop alternative products or services, or redesign our products or services, to avoid infringing third party patents or proprietary rights. Defense of any lawsuit or failure to obtain any of these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 Some of our competitors may be able to sustain the costs of complex patent litigation more effectively than we can because they have substantially greater resources. Further, even if we were successful in defending against a lawsuit, such a defense would distract our management team from our operations, which could have an adverse effect on our business.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9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may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results of operations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Third parties, including our competitors, could be infringing, misappropriating or otherwise violating our intellectual property rights. Monitoring unauthorized use of our intellectual property is difficult and costly. From time to time, we seek to analyze our competitors’ products and services, and may in the future seek to enforce our rights against potential infringement, misappropriation or violation of our intellectual property. However, the steps we have taken to protect our proprietary rights may not be adequate to enforce our rights against such infringement, misappropriation or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If we do not prevail in such legal proceedings, we may be required to pay damages, we may lose significant intellectual property protection for our products or services, such that competitors could copy our products or services and we could be forced to cease commercialization of certain of our products or services. Even if resolved in our favor, any award of monetary damages or other remedy we receive may not be commercially valuable.</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Any litigation that may be necessary in the future could result in substantial costs and diversion of resources and could have a material adverse effect on our business, financial condition, results of operations and prospects. In any lawsuit we bring to enforce our intellectual property rights, a court may refuse to stop the other party from using the technology at issue on grounds that our intellectual property rights do not cover the technology in question. Further, in such proceedings, the defendant could counterclaim that our intellectual property is invalid or unenforceable and the court may agree, in which case we could lose valuable intellectual property rights. The outcome in any such lawsuits are unpredictable. Even if we do prevail in any future litigation related to intellectual property rights, the cost and time requirements of the litigation could negatively impact our financial results.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compromise our ability to offer our services and subject us to possible litigation.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open-source software licensed to us by third-party authors under “open source” licenses in connection with our products and services.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w:t>
      </w:r>
    </w:p>
    <w:p>
      <w:pPr>
        <w:spacing w:after="0" w:line="17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Further, some open-source software licenses require users who distribute software containing open-source software to publicly disclose all or part of the source code to the licensee’s software that incorporates, links or uses such open-source software, and make available to third parties for no cost, any derivative works of the open source code created by the licensee, which could include the licensee’s own valuable proprietary code. While we monitor our use of open-source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Additionally, we may from time to time face claims from third parties claiming ownership of, or seeking to enforce the terms of, an open source license, including by demanding release of source code for the open-source software, derivative works or our proprietary source code that was developed using, or that is distributed with, such open-source software. These claims could also result in litigation and could require us to make our proprietary software source code freely available, require us to devote additional research and development resources to change re-engineer our platform, seek costly licenses from third parties or otherwise incur additional costs and expenses, any of which could result in reputational harm and would have a negative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and fluctuate substantially, which could result in substantial losses for our stockholders.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has been and may continue to be volatile. The stock market in general and the market for smaller technology companies in particular has experienced extreme volatility that has often been unrelated to the operating performance of particular companies. As a result of this volatility, our stockholders may not be able to sell their Class A common stock at or above the price they paid for them. The market price for our Class A common stock may be influenced by many factors, including:</w:t>
      </w:r>
    </w:p>
    <w:p>
      <w:pPr>
        <w:spacing w:after="0" w:line="180"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our quarterly and annual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product and system reliability;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operating results or growth rate as a result of our competitors’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products and expand into new markets on a timely basis;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products or of those of others in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 and elsewhere in this Quarterly Report on Form 10-Q.</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Class A common stock is delisted from The Nasdaq Stock Market LLC, the liquidity of our Class A common stock would be adversely affected and the market price of our common stock could decrease.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Stock Market LLC ("Nasdaq"), on which our Class A common stock is currently listed has minimum requirements that a company must</w:t>
      </w:r>
    </w:p>
    <w:p>
      <w:pPr>
        <w:spacing w:after="0" w:line="3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meet in order to remain listed, including that we maintain a minimum closing bid price of $1.00 per share for our Class A common stock. Under Nasdaq Listing Rule 5550(a)(2) (the “Bid Price Requirement”), if a company fails for 30 consecutive business days to meet the $1.00 minimum closing bid price requirement, Nasdaq will send a deficiency notice to the company, advising that it has been afforded a "compliance period" of 180 calendar days to regain compliance with the applicable requirements. We have previously received notifications from Nasdaq that we were not in compliance with its minimum bid price requirements.</w:t>
      </w:r>
    </w:p>
    <w:p>
      <w:pPr>
        <w:spacing w:after="0" w:line="225" w:lineRule="exact"/>
        <w:rPr>
          <w:sz w:val="20"/>
          <w:szCs w:val="20"/>
          <w:color w:val="auto"/>
        </w:rPr>
      </w:pPr>
    </w:p>
    <w:p>
      <w:pPr>
        <w:ind w:right="140" w:firstLine="324"/>
        <w:spacing w:after="0" w:line="246" w:lineRule="auto"/>
        <w:rPr>
          <w:sz w:val="20"/>
          <w:szCs w:val="20"/>
          <w:color w:val="auto"/>
        </w:rPr>
      </w:pPr>
      <w:r>
        <w:rPr>
          <w:rFonts w:ascii="Times New Roman" w:cs="Times New Roman" w:eastAsia="Times New Roman" w:hAnsi="Times New Roman"/>
          <w:sz w:val="18"/>
          <w:szCs w:val="18"/>
          <w:color w:val="auto"/>
        </w:rPr>
        <w:t>Even though we have regained compliance with the Bid Price Requirement, there can be no assurance that we will in the future continue to comply with the Bid Price Requirement and other continued listing standards of Nasdaq in the future. If we fail to comply with one or more other Nasdaq Listing Rules, our Class A common stock may also become subject to delisting as a result of such deficiencies, then Nasdaq will issue a notice that we are not in compliance and we will need to take corrective actions in order to not be delisted. Such corrective actions could include a reverse stock split or a buyback of shares of our Class A common stock, which may adversely affect the liquidity of our Class A common stock or our cash balance, respectively.</w:t>
      </w:r>
    </w:p>
    <w:p>
      <w:pPr>
        <w:spacing w:after="0" w:line="195"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A delisting of our Class A common stock from Nasdaq could materially reduce the liquidity of our Class A common stock and result in a corresponding material reduction in the price of our Class A common stock. In addition, delisting could harm our ability to raise capital on terms acceptable to us, or at all, and may result in the potential loss of confidence by investors and employees and fewer business development opportunities. Further, any potential delisting of our Class A common stock from Nasdaq would also make it more difficult for our stockholders to sell their shares in the public market. Such a delisting would also constitute an event of default under our long-term debt facility.</w:t>
      </w:r>
    </w:p>
    <w:p>
      <w:pPr>
        <w:spacing w:after="0" w:line="1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in the public market, or the perception in the market that the holders of a large number of shares intend to sell shares, could depress the market price of our Class A common stock.</w:t>
      </w:r>
    </w:p>
    <w:p>
      <w:pPr>
        <w:spacing w:after="0" w:line="172" w:lineRule="exact"/>
        <w:rPr>
          <w:sz w:val="20"/>
          <w:szCs w:val="20"/>
          <w:color w:val="auto"/>
        </w:rPr>
      </w:pPr>
    </w:p>
    <w:p>
      <w:pPr>
        <w:ind w:right="120" w:firstLine="324"/>
        <w:spacing w:after="0" w:line="237" w:lineRule="auto"/>
        <w:rPr>
          <w:sz w:val="20"/>
          <w:szCs w:val="20"/>
          <w:color w:val="auto"/>
        </w:rPr>
      </w:pPr>
      <w:r>
        <w:rPr>
          <w:rFonts w:ascii="Times New Roman" w:cs="Times New Roman" w:eastAsia="Times New Roman" w:hAnsi="Times New Roman"/>
          <w:sz w:val="18"/>
          <w:szCs w:val="18"/>
          <w:color w:val="auto"/>
        </w:rPr>
        <w:t>Except for shares of our Class A common stock that are held by our directors, officers and affiliates, which are subject to certain restrictions on resale under the Securities Act of 1933, as amended (the "Securities Act"), and the rules and regulations promulgated thereunder, all other shares of our Class A common stock listed on Nasdaq are generally freely tradable. These include shares held by stockholders, including those that hold large positions in our securities, that are not our affiliates as such term is defined under Rule 144 of the Securities Act. Sales of a substantial number of shares of our common stock by such stockholders, particularly at a time when daily trading volumes in our stock are low, has had and may continue to have the effect of depressing the trading price of our common stock. Such downward pressure in the trading price of our common stock may also be exerted by investors' expectations or perceptions that such sales could occur.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not be sustainable.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It is possible that an active or liquid market for our Class A common stock may not be sustainable. In the absence of an active trading market for our Class A common stock, it may be difficult for stockholders to sell our shares without depressing the market price for the shares, or at all. Furthermore,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all matters submitted to stockholders for approval.</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Based on the number of shares of Class A common stock outstanding as of March 31, 2026, our executive officers, directors and stockholders who owned more than 5% of our outstanding common stock and their respective affiliates hold, in the aggregate, a majority of our outstanding voting stock. The holders of shares of our Class B common stock have the ability to convert any portion of their Class B common stock into Class A common stock. Our Class B common stock cannot be converted if, immediately following such conversion, the holder would beneficially own more than 4.9% of the issued and outstanding Class A common stock. Due to this conversion right, holders of our Class B common stock could, at any time, increase their voting control of us. As a result of their combined voting power, if our executive officers, directors and stockholders who own more than 5% of our outstanding common stock choose to act together, they would be able to control all matters submitted to our stockholders for approval that require a majority vote, as well as our management and affairs. For example, these persons, if they choose to act together, would control the election of directors, the composition of our management and approval of any merger, consolidation or sale of all or substantially all of our assets.</w:t>
      </w:r>
    </w:p>
    <w:p>
      <w:pPr>
        <w:spacing w:after="0" w:line="1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and the option of the holders of shares of our Class B common stock to convert into shares of our Class A common stock may limit our Class A stockholders’ ability to influence corporate matters.</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Our Class A common stock has one vote per share, while our Class B common stock is non-voting. Nonetheless, each share of our Class B common stock may be converted at any time into one share of issued and outstanding Class A common stock at the option of its holder, subject to the limitations provided for in our restated certificate of incorporation that prohibit the conversion of our Class B common stock into shares of Class A common stock to the extent that, upon such conversion, such holder would beneficially own in excess of 4.9% of our Class A common stock.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 which may limit our current Class A stockholders’ ability to influence corporate matters.</w:t>
      </w:r>
    </w:p>
    <w:p>
      <w:pPr>
        <w:spacing w:after="0" w:line="1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us may make our Class A common stock less attractive to investors.</w:t>
      </w:r>
    </w:p>
    <w:p>
      <w:pPr>
        <w:spacing w:after="0" w:line="15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 JOBS Act"), and may remain an emerging growth company until December 31, 2026 at the latest.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80"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225" w:lineRule="exact"/>
        <w:rPr>
          <w:rFonts w:ascii="Times New Roman" w:cs="Times New Roman" w:eastAsia="Times New Roman" w:hAnsi="Times New Roman"/>
          <w:sz w:val="18"/>
          <w:szCs w:val="18"/>
          <w:color w:val="auto"/>
        </w:rPr>
      </w:pPr>
    </w:p>
    <w:p>
      <w:pPr>
        <w:ind w:left="980" w:right="80" w:hanging="324"/>
        <w:spacing w:after="0" w:line="312" w:lineRule="auto"/>
        <w:tabs>
          <w:tab w:leader="none" w:pos="97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a nonbinding advisory vote on executive compensation and stockholder approval of any golden parachute payments not previously approved and from providing the pay ratio between our Chief Executive Officer and employees; and</w:t>
      </w:r>
    </w:p>
    <w:p>
      <w:pPr>
        <w:spacing w:after="0" w:line="139" w:lineRule="exact"/>
        <w:rPr>
          <w:rFonts w:ascii="Times New Roman" w:cs="Times New Roman" w:eastAsia="Times New Roman" w:hAnsi="Times New Roman"/>
          <w:sz w:val="17"/>
          <w:szCs w:val="17"/>
          <w:color w:val="auto"/>
        </w:rPr>
      </w:pPr>
    </w:p>
    <w:p>
      <w:pPr>
        <w:ind w:left="980" w:right="200" w:hanging="324"/>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6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and are therefore entitled to rely on certain reduced disclosure requirements for as long as we remain a smaller reporting company, such as presenting two years of audited financial statements in our annual Form 10-K or reduced disclosure requirements for executive compensation. This reduced disclosure in our Securities and Exchange Commission (“SEC") filings due to our status as a smaller reporting company may make it harder for investors to analyze our results of operations and financial prospects.</w:t>
      </w:r>
    </w:p>
    <w:p>
      <w:pPr>
        <w:spacing w:after="0" w:line="180"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We cannot predict whether investors will find our Class A common stock less attractive if we rely on these exemptions. If some investors find our Class A common stock less attractive as a result, there may be a less active trading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market for our Class A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intend to utilize the extended transition period and, as a result, we will not be required to comply with new or revised accounting standards on the same timeline as other public companies.</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controls. Section 404 of the Sarbanes-Oxley Act of 2002 requires that we evaluate and determine the effectiveness of our internal control over financial reporting and provide a management report on our internal controls on an annual basis. However, while we remain an emerging growth company, we are not required to include an attestation report on internal control over financial reporting issued by our independent registered accounting firm.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Additionally, even if we conclude our internal control over financial reporting is effective for a given period, we may in the future identify one or more material weaknesses, in which case our management will be unable to conclude that our internal control over financial reporting is effective. Our independent registered public accounting firm will be required to issue an attestation report on the effectiveness of our internal control over financial reporting following the date we are no longer an emerging growth company and do not qualify as a non-accelerated filer. Even if our management concludes that our internal control over financial reporting is effective, our independent registered public accounting firm may in the future conclude that there are material weaknesses with respect to our internal controls or the level at which our internal controls are documented, designed, implemented or reviewed.</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could have a material adverse effect on investors’ confidence in our reporting and the price of our Class A common stock.</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amended and restated bylaws and under Delaware law could make an acquisition of our company,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discourage, delay or prevent a merger, acquisition or other change in control of our company that stockholders may consider favorable,</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including transactions in which our stockholders might otherwise receive a premium for their shares. These provisions could also limit the price that investors might be willing to pay in the future for shares of our Class A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83" w:lineRule="exact"/>
        <w:rPr>
          <w:sz w:val="20"/>
          <w:szCs w:val="20"/>
          <w:color w:val="auto"/>
        </w:rPr>
      </w:pPr>
    </w:p>
    <w:p>
      <w:pPr>
        <w:ind w:left="980" w:right="30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Times New Roman" w:cs="Times New Roman" w:eastAsia="Times New Roman" w:hAnsi="Times New Roman"/>
          <w:sz w:val="18"/>
          <w:szCs w:val="18"/>
          <w:color w:val="auto"/>
        </w:rPr>
      </w:pPr>
    </w:p>
    <w:p>
      <w:pPr>
        <w:ind w:left="980" w:right="40" w:hanging="324"/>
        <w:spacing w:after="0" w:line="312" w:lineRule="auto"/>
        <w:tabs>
          <w:tab w:leader="none" w:pos="97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thereon to (i) effect a reorganization, recapitalization, share exchange, share classification, consolidation, conversion or merger, (ii) sell, lease, exchange, transfer or otherwise dispose of all or substantially all of our assets, or (iii) dissolve our company or revoke a dissolution of our company;</w:t>
      </w:r>
    </w:p>
    <w:p>
      <w:pPr>
        <w:spacing w:after="0" w:line="17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58"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been, and may again in the future be, subject to the actions of activist stockholders or unsolicited acquisition proposals, which could cause us to incur substantial costs, divert management’s and the board’s attention and resources, and have an adverse effect on our business and stock price.</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proposals by stockholders urging us to take certain corporate actions, such as changing the composition of our board of directors, our management team, selling our company or similar strategic initiatives. If activist stockholder initiatives ensue, our business could be adversely affected, as responding to such actions can be costly and time-consuming, disrupt our operations and divert the attention of management and our board of directors. For example, in connection with the unsolicited proposal from a stockholder to acquire all of our outstanding common stock in June 2022, we retained the services of various advisors, including legal, financial, and communications professionals, to advise us in considering the stockholder's proposal and during our review of strategic alternatives, the costs of which negatively impacted our financial results, and we may be required to retain such services in the future, which could have a further negative impact on our financial results. In addition, perceived uncertainties as to our future direction, strategy or leadership created as a consequence of activist stockholder initiatives may result in the loss of</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potential business opportunities, harm our ability to attract new investors, customers, and employees, and cause our stock price to experience periods of volatility or stagnation.</w:t>
      </w:r>
    </w:p>
    <w:p>
      <w:pPr>
        <w:spacing w:after="0" w:line="144" w:lineRule="exact"/>
        <w:rPr>
          <w:sz w:val="20"/>
          <w:szCs w:val="20"/>
          <w:color w:val="auto"/>
        </w:rPr>
      </w:pPr>
    </w:p>
    <w:p>
      <w:pPr>
        <w:ind w:right="98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171"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restated certificate of incorporation described above; provided, however, that stockholders cannot and will not be deemed to have waived our compliance with the U.S. federal securities laws and the rules and regulations thereunder.</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These provisions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and result in additional litigation costs in pursuing any such claims.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 The choice of forum provision contained in our restated certificate of incorporation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("NOLs") and research and development tax credits to offset future taxable income or income tax liabilities is subject to certain limitations.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we had U.S. federal and state NOLs, carryforwards of $320.9 million and $133.0 million, respectively. These NOLs begin to expire in 2038 and 2032, respectively, and may be available to offset future taxable income, if any. Additionally, we had federal NOLs of $308.1 million generated since 2018, which do not expire. The Tax Cuts and Jobs Act enacted on December 22, 2017 limits a taxpayer’s ability to utilize NOL deduction in a year to 80% taxable income for federal NOL arising in tax years beginning after 2017. In addition, we had federal and state research and development tax credits of $3.2 million and $3.5 million which may be available to offset future tax liabilities. The federal credits begin to expire in 2039 and the state credits began to expire in 2025.</w:t>
      </w:r>
    </w:p>
    <w:p>
      <w:pPr>
        <w:spacing w:after="0" w:line="18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a corporation that undergoes an “ownership change,” generally defined as a greater than 50 percentage point change by value in its equity ownership by one or more stockholders or groups of stockholders owning at least 5% of the corporation’s stock over a rolling three-year period, is subject to limitations on its ability to utilize its pre-ownership change NOLs and tax credits to offset future taxable income or income tax liabilities for U.S. federal income tax purposes. Similar rules may apply under state tax laws. Our company has completed a Section 382 study through July 31, 2020 to assess the limitations on use of NOLs and research and development credits due to changes in control. The study determined that ownership changes materially limited the NOL carryforwards and research and development tax credits available to offset future tax liabilities and the limitations have been reflected in the amounts of NOL carryforwards, research and development tax credits, and deferred tax assets disclosed above. We have not completed a Section 382 study for post July 31, 2020 transactions which</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could create an additional limitation although materially all of the current federal NOL carryforwards can be carried forward indefinitely. We have in the past experienced, and we may in the future experience ownership changes, some of which are outside our control. For these reasons, we are not able to utilize a material portion of the NOLs and tax credits even if we attain profitability. For additional information on our use of NOLs, see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Operations—Components of results of operations—Income tax expense</w:t>
      </w:r>
      <w:r>
        <w:rPr>
          <w:rFonts w:ascii="Times New Roman" w:cs="Times New Roman" w:eastAsia="Times New Roman" w:hAnsi="Times New Roman"/>
          <w:sz w:val="18"/>
          <w:szCs w:val="18"/>
          <w:color w:val="auto"/>
        </w:rPr>
        <w:t>” and Note 12—</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condensed consolidated financial statements included elsewhere in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or perceived failure to achieve or maintain corporate sustainability practices that meet evolving stakeholder expectations could adversely affect us.</w:t>
      </w:r>
    </w:p>
    <w:p>
      <w:pPr>
        <w:spacing w:after="0" w:line="198" w:lineRule="exact"/>
        <w:rPr>
          <w:sz w:val="20"/>
          <w:szCs w:val="20"/>
          <w:color w:val="auto"/>
        </w:rPr>
      </w:pPr>
    </w:p>
    <w:p>
      <w:pPr>
        <w:ind w:right="120" w:firstLine="324"/>
        <w:spacing w:after="0" w:line="243" w:lineRule="auto"/>
        <w:rPr>
          <w:sz w:val="20"/>
          <w:szCs w:val="20"/>
          <w:color w:val="auto"/>
        </w:rPr>
      </w:pPr>
      <w:r>
        <w:rPr>
          <w:rFonts w:ascii="Times New Roman" w:cs="Times New Roman" w:eastAsia="Times New Roman" w:hAnsi="Times New Roman"/>
          <w:sz w:val="18"/>
          <w:szCs w:val="18"/>
          <w:color w:val="auto"/>
        </w:rPr>
        <w:t>Our ability to achieve corporate sustainability commitments is subject to numerous factors both within and outside of our control. Our failure or perceived failure to achieve our corporate sustainability commitments or maintain corporate sustainability practices that meet stakeholder expectations or regulatory requirements could harm our reputation, adversely impact our ability to attract and retain employees or customers and expose us to increased scrutiny from the investment community, regulatory authorities and others or subject us to liability. Our reputation also may be harmed by the perceptions that our customers, employees and other stakeholders have about our action or inaction on corporate sustainability issues. In addition, the increasing prevalence of corporate sustainability laws and regulations across the jurisdictions in which we operate may increase compliance risks and costs and, together with differing views on the appropriate role of sustainability practices and disclosures, may subject us to greater stakeholder scrutiny. Any potential damage to our reputation or loss of brand equity may reduce demand for our products and services.</w:t>
      </w:r>
    </w:p>
    <w:p>
      <w:pPr>
        <w:spacing w:after="0" w:line="20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would be stockholders’ sole source of gain.</w:t>
      </w:r>
    </w:p>
    <w:p>
      <w:pPr>
        <w:spacing w:after="0" w:line="15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will be the sole source of gain on an investment in our common stock for the foreseeable future.</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publish about us or our business. If the analysts who cover us issue an adverse or misleading opinion regarding us, our business model, or our stock performance, or if our product development or marketing and sales results fail to meet the expectations of analysts, our stock price could decline. If one or more of these analysts ceases coverage of us or fails to publish reports on us regularly, we could lose visibility in the financial markets, which in turn could cause our stock price or trading volume to decline.</w:t>
      </w:r>
    </w:p>
    <w:p>
      <w:pPr>
        <w:spacing w:after="0" w:line="179"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7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Class A common stock.</w:t>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early-stage technology companies have experienced significant stock price volatility in recent years. If we face such litigation, it could result in substantial costs, a diversion of management’s attention and resources, and negative publicity, all of which could harm our business.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15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and March 12, 2023, the Federal Deposit Insurance Corporation took control and was appointed receiver of Silicon Valley Bank, Signature Bank and Silvergate Capital Corp, respectively, after each bank was unable to continue their operations. Since then, additional financial institutions have experienced similar failures and have been placed into receivership. It is possible that other banks will face similar difficulty in the future.</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Although we do not maintain any deposit accounts, credit agreements or letters of credit with any financial institution currently in receivership, we are unable to predict the extent or nature of the impacts of these evolving circumstances at this time. If, for example, other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 Purchases of Equity Securities by the Issuer or Affiliated Purchaser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right="500" w:firstLine="648"/>
        <w:spacing w:after="0" w:line="312" w:lineRule="auto"/>
        <w:rPr>
          <w:sz w:val="20"/>
          <w:szCs w:val="20"/>
          <w:color w:val="auto"/>
        </w:rPr>
      </w:pPr>
      <w:r>
        <w:rPr>
          <w:rFonts w:ascii="Times New Roman" w:cs="Times New Roman" w:eastAsia="Times New Roman" w:hAnsi="Times New Roman"/>
          <w:sz w:val="17"/>
          <w:szCs w:val="17"/>
          <w:color w:val="auto"/>
        </w:rPr>
        <w:t>On July 14, 2021, the Registration Statement on Form S-1 (File No. 333-257431) relating to our initial public offering ("IPO") was declared effective by the SEC. There has been no material change in the expected use of the net proceeds from our IPO as described in our final prospectus.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Director and Officer Trading Plans and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16, 2026, Robert Spignesi, President, Chief Executive Officer and Director, terminated a 10b5-1 trading plan that he entered into on December 17, 2025 (the “Prior Spignesi 10b5-1 Trading Plan”) intended to satisfy the affirmative defense of Rule 10b5-1(c) of the Exchange Act and provided for the potential exercise of expiring vested stock options and the associated sale of up to 250,000 shares of our Class A common stock.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17, 2026, Robert Spignesi, President, Chief Executive Officer and Director, adopted a new 10b5-1 trading plan (the “Spignesi 10b5-1 Trading Plan”) intended to satisfy the affirmative defense of Rule 10b5-1(c) of the Exchange Act and providing for the potential exercise of expiring vested stock options and the associated sale of up to 398,230 shares of our Class A common stock. The Spignesi 10b5-1 Trading Plan will remain in effect until the earlier of (1) September 30, 2026, (2) the date on which all trades set forth in the Spignesi 10b5-1 Trading Plan have been executed, or (3) such time as the Spignesi 10b5-1 Trading Plan is otherwise terminated according to its terms.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None of our other directors or officers adopted, modified or terminated a Rule 10b5-1 trading arrangement, or adopted, modified or terminated a non-Rule 10b5-1 trading arrangement (as defined in Item 408(c) of Regulation S-K) during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0" w:type="dxa"/>
            <w:vAlign w:val="bottom"/>
            <w:gridSpan w:val="12"/>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0" w:type="dxa"/>
            <w:vAlign w:val="bottom"/>
            <w:gridSpan w:val="1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8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980" w:type="dxa"/>
            <w:vAlign w:val="bottom"/>
            <w:tcBorders>
              <w:top w:val="single" w:sz="8" w:color="auto"/>
            </w:tcBorders>
            <w:gridSpan w:val="15"/>
          </w:tcPr>
          <w:p>
            <w:pPr>
              <w:spacing w:after="0" w:line="182"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Restated Certificate of Incorporation, as amended on May 23, 2024 (incorporated by reference to Exhibit 3.1 to the Registrant's Annual</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Report on Form 10-K (File No. 001-40592) filed on February 28, 2025)</w:t>
              </w:r>
            </w:hyperlink>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0" w:type="dxa"/>
            <w:vAlign w:val="bottom"/>
            <w:gridSpan w:val="3"/>
          </w:tcPr>
          <w:p>
            <w:pPr>
              <w:ind w:left="20"/>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80" w:type="dxa"/>
            <w:vAlign w:val="bottom"/>
            <w:gridSpan w:val="15"/>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Amended and Restated Bylaws (incorporated by reference to Exhibit 3.2 to the Registrant's Current Report on Form 8-K (File No. 001-</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7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40952) filed on July 21, 2021)</w:t>
              </w:r>
            </w:hyperlink>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right w:val="single" w:sz="8" w:color="0000FF"/>
            </w:tcBorders>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40" w:type="dxa"/>
            <w:vAlign w:val="bottom"/>
            <w:gridSpan w:val="6"/>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9980" w:type="dxa"/>
            <w:vAlign w:val="bottom"/>
            <w:gridSpan w:val="15"/>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Consulting Services and Separation Agreement, dated as of March 26, 2026, between the Registrant and John Wilson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reference to Exhibit 10.1 to the Registrant's Form 8-K (File No.001-40952) filed on March 27, 2026)</w:t>
              </w:r>
            </w:hyperlink>
          </w:p>
        </w:tc>
        <w:tc>
          <w:tcPr>
            <w:tcW w:w="2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80" w:type="dxa"/>
            <w:vAlign w:val="bottom"/>
            <w:tcBorders>
              <w:top w:val="single" w:sz="8" w:color="0000FF"/>
            </w:tcBorders>
            <w:gridSpan w:val="6"/>
          </w:tcPr>
          <w:p>
            <w:pPr>
              <w:spacing w:after="0"/>
              <w:rPr>
                <w:sz w:val="13"/>
                <w:szCs w:val="13"/>
                <w:color w:val="auto"/>
              </w:rPr>
            </w:pPr>
          </w:p>
        </w:tc>
        <w:tc>
          <w:tcPr>
            <w:tcW w:w="36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20" w:type="dxa"/>
            <w:vAlign w:val="bottom"/>
            <w:tcBorders>
              <w:top w:val="single" w:sz="8" w:color="0000FF"/>
            </w:tcBorders>
            <w:gridSpan w:val="4"/>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20" w:type="dxa"/>
            <w:vAlign w:val="bottom"/>
          </w:tcPr>
          <w:p>
            <w:pPr>
              <w:spacing w:after="0"/>
              <w:rPr>
                <w:sz w:val="19"/>
                <w:szCs w:val="19"/>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8200" w:type="dxa"/>
            <w:vAlign w:val="bottom"/>
            <w:tcBorders>
              <w:top w:val="single" w:sz="8" w:color="0000FF"/>
            </w:tcBorders>
            <w:gridSpan w:val="7"/>
          </w:tcPr>
          <w:p>
            <w:pPr>
              <w:spacing w:after="0"/>
              <w:rPr>
                <w:sz w:val="13"/>
                <w:szCs w:val="13"/>
                <w:color w:val="auto"/>
              </w:rPr>
            </w:pPr>
          </w:p>
        </w:tc>
        <w:tc>
          <w:tcPr>
            <w:tcW w:w="38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20" w:type="dxa"/>
            <w:vAlign w:val="bottom"/>
          </w:tcPr>
          <w:p>
            <w:pPr>
              <w:spacing w:after="0"/>
              <w:rPr>
                <w:sz w:val="19"/>
                <w:szCs w:val="19"/>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7"/>
              </w:rPr>
              <w:t>Act of 2002</w:t>
            </w:r>
          </w:p>
        </w:tc>
        <w:tc>
          <w:tcPr>
            <w:tcW w:w="906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101.INS*</w:t>
            </w: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101.SCH*</w:t>
            </w: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101.CAL*</w:t>
            </w: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101.DEF*</w:t>
            </w: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101.LAB*</w:t>
            </w: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101.PRE*</w:t>
            </w:r>
          </w:p>
        </w:tc>
        <w:tc>
          <w:tcPr>
            <w:tcW w:w="99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4"/>
              </w:rPr>
              <w:t>104*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8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FF"/>
              </w:rPr>
              <w:t>Cover Page Interactive Data File (formatted as Inline XBRL and contained in Exhibit 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00" w:hanging="474"/>
        <w:spacing w:after="0"/>
        <w:tabs>
          <w:tab w:leader="none" w:pos="500" w:val="left"/>
        </w:tabs>
        <w:numPr>
          <w:ilvl w:val="0"/>
          <w:numId w:val="3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herewith.</w:t>
      </w:r>
    </w:p>
    <w:p>
      <w:pPr>
        <w:spacing w:after="0" w:line="56" w:lineRule="exact"/>
        <w:rPr>
          <w:sz w:val="20"/>
          <w:szCs w:val="20"/>
          <w:color w:val="auto"/>
        </w:rPr>
      </w:pPr>
    </w:p>
    <w:p>
      <w:pPr>
        <w:ind w:left="500" w:hanging="474"/>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43" w:lineRule="exact"/>
        <w:rPr>
          <w:sz w:val="20"/>
          <w:szCs w:val="20"/>
          <w:color w:val="auto"/>
        </w:rPr>
      </w:pPr>
    </w:p>
    <w:p>
      <w:pPr>
        <w:ind w:left="500" w:hanging="474"/>
        <w:spacing w:after="0"/>
        <w:tabs>
          <w:tab w:leader="none" w:pos="5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Portions of this exhibit (indicated by asterisks) have been redacted in compliance with Regulation S-K Item 601(b)(10)(iv).</w:t>
      </w:r>
    </w:p>
    <w:p>
      <w:pPr>
        <w:spacing w:after="0" w:line="27" w:lineRule="exact"/>
        <w:rPr>
          <w:sz w:val="20"/>
          <w:szCs w:val="20"/>
          <w:color w:val="auto"/>
        </w:rPr>
      </w:pPr>
    </w:p>
    <w:p>
      <w:pPr>
        <w:ind w:left="500" w:right="1460" w:hanging="474"/>
        <w:spacing w:after="0" w:line="260"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duly authorized.</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RAPID MICRO BIOSYSTEMS, INC.</w:t>
      </w:r>
    </w:p>
    <w:p>
      <w:pPr>
        <w:spacing w:after="0" w:line="297" w:lineRule="exact"/>
        <w:rPr>
          <w:sz w:val="20"/>
          <w:szCs w:val="20"/>
          <w:color w:val="auto"/>
        </w:rPr>
      </w:pPr>
    </w:p>
    <w:p>
      <w:pPr>
        <w:ind w:left="5580"/>
        <w:spacing w:after="0"/>
        <w:tabs>
          <w:tab w:leader="none" w:pos="7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Spignesi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Robert Spignesi</w:t>
      </w:r>
    </w:p>
    <w:p>
      <w:pPr>
        <w:spacing w:after="0" w:line="1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w:t>
      </w:r>
    </w:p>
    <w:p>
      <w:pPr>
        <w:ind w:left="7560"/>
        <w:spacing w:after="0"/>
        <w:rPr>
          <w:sz w:val="20"/>
          <w:szCs w:val="20"/>
          <w:color w:val="auto"/>
        </w:rPr>
      </w:pPr>
      <w:r>
        <w:rPr>
          <w:rFonts w:ascii="Times New Roman" w:cs="Times New Roman" w:eastAsia="Times New Roman" w:hAnsi="Times New Roman"/>
          <w:sz w:val="18"/>
          <w:szCs w:val="18"/>
          <w:b w:val="1"/>
          <w:bCs w:val="1"/>
          <w:color w:val="auto"/>
        </w:rPr>
        <w:t>Principal Operating Officer</w:t>
      </w:r>
    </w:p>
    <w:p>
      <w:pPr>
        <w:spacing w:after="0" w:line="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w:t>
      </w:r>
    </w:p>
    <w:p>
      <w:pPr>
        <w:ind w:left="7960"/>
        <w:spacing w:after="0"/>
        <w:rPr>
          <w:sz w:val="20"/>
          <w:szCs w:val="20"/>
          <w:color w:val="auto"/>
        </w:rPr>
      </w:pPr>
      <w:r>
        <w:rPr>
          <w:rFonts w:ascii="Times New Roman" w:cs="Times New Roman" w:eastAsia="Times New Roman" w:hAnsi="Times New Roman"/>
          <w:sz w:val="18"/>
          <w:szCs w:val="18"/>
          <w:i w:val="1"/>
          <w:iCs w:val="1"/>
          <w:color w:val="auto"/>
        </w:rPr>
        <w:t>Operating Officer)</w:t>
      </w:r>
    </w:p>
    <w:p>
      <w:pPr>
        <w:spacing w:after="0" w:line="286" w:lineRule="exact"/>
        <w:rPr>
          <w:sz w:val="20"/>
          <w:szCs w:val="20"/>
          <w:color w:val="auto"/>
        </w:rPr>
      </w:pPr>
    </w:p>
    <w:p>
      <w:pPr>
        <w:ind w:left="558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Wirtjes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b w:val="1"/>
          <w:bCs w:val="1"/>
          <w:color w:val="auto"/>
        </w:rPr>
        <w:t>Sean Wirtjes</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ind w:left="792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121" w:right="45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OR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Spignesi, certify that:</w:t>
      </w:r>
    </w:p>
    <w:p>
      <w:pPr>
        <w:spacing w:after="0" w:line="117" w:lineRule="exact"/>
        <w:rPr>
          <w:sz w:val="20"/>
          <w:szCs w:val="20"/>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Rapid Micro Biosystems, Inc.;</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980" w:right="180" w:hanging="648"/>
        <w:spacing w:after="0" w:line="250"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620" w:right="100" w:hanging="640"/>
        <w:spacing w:after="0" w:line="250" w:lineRule="auto"/>
        <w:tabs>
          <w:tab w:leader="none" w:pos="161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333"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Robert Spignesi</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Spignesi</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OR 15d-14(a) UNDER THE SECURITIES EXCHANGE ACT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1934,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Wirtjes, certify that:</w:t>
      </w:r>
    </w:p>
    <w:p>
      <w:pPr>
        <w:spacing w:after="0" w:line="117" w:lineRule="exact"/>
        <w:rPr>
          <w:sz w:val="20"/>
          <w:szCs w:val="20"/>
          <w:color w:val="auto"/>
        </w:rPr>
      </w:pPr>
    </w:p>
    <w:p>
      <w:pPr>
        <w:ind w:left="980" w:hanging="648"/>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Rapid Micro Biosystems, Inc.;</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333"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Sean Wirtjes</w:t>
            </w:r>
          </w:p>
        </w:tc>
        <w:tc>
          <w:tcPr>
            <w:tcW w:w="0" w:type="dxa"/>
            <w:vAlign w:val="bottom"/>
          </w:tcPr>
          <w:p>
            <w:pPr>
              <w:spacing w:after="0"/>
              <w:rPr>
                <w:sz w:val="1"/>
                <w:szCs w:val="1"/>
                <w:color w:val="auto"/>
              </w:rPr>
            </w:pPr>
          </w:p>
        </w:tc>
      </w:tr>
      <w:tr>
        <w:trPr>
          <w:trHeight w:val="27"/>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0" w:type="dxa"/>
            <w:vAlign w:val="bottom"/>
            <w:vMerge w:val="continue"/>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Wirtjes</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Rapid Micro Biosystems, Inc. (the “Company”) on Form 10-Q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980" w:hanging="48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320"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Spignesi</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Spignesi</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4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Rapid Micro Biosystems, Inc. (the “Company”) on Form 10-Q for the period ended March 31, 2026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68" w:lineRule="exact"/>
        <w:rPr>
          <w:sz w:val="20"/>
          <w:szCs w:val="20"/>
          <w:color w:val="auto"/>
        </w:rPr>
      </w:pPr>
    </w:p>
    <w:p>
      <w:pPr>
        <w:ind w:left="980" w:hanging="48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980" w:right="600" w:hanging="486"/>
        <w:spacing w:after="0" w:line="282" w:lineRule="auto"/>
        <w:tabs>
          <w:tab w:leader="none" w:pos="9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15, 2026</w:t>
      </w:r>
    </w:p>
    <w:p>
      <w:pPr>
        <w:spacing w:after="0" w:line="320"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Wirtjes</w:t>
            </w:r>
          </w:p>
        </w:tc>
      </w:tr>
      <w:tr>
        <w:trPr>
          <w:trHeight w:val="21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Wirtjes</w:t>
            </w:r>
          </w:p>
        </w:tc>
      </w:tr>
      <w:tr>
        <w:trPr>
          <w:trHeight w:val="180"/>
        </w:trPr>
        <w:tc>
          <w:tcPr>
            <w:tcW w:w="7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2"/>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0"/>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3"/>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0" Type="http://schemas.openxmlformats.org/officeDocument/2006/relationships/hyperlink" Target="https://www.sec.gov/Archives/edgar/data/1380106/000138010625000058/ex31_restatedcertificateof.htm" TargetMode="External"/><Relationship Id="rId111" Type="http://schemas.openxmlformats.org/officeDocument/2006/relationships/hyperlink" Target="https://www.sec.gov/Archives/edgar/data/1380106/000110465921094046/tm219739d19_ex3-2.htm" TargetMode="External"/><Relationship Id="rId112" Type="http://schemas.openxmlformats.org/officeDocument/2006/relationships/hyperlink" Target="https://www.sec.gov/Archives/edgar/data/1380106/000138010626000045/ex101_jwilsonconsultings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2026-05-15T06:40:17Z</dcterms:created>
  <dcterms:modified xsi:type="dcterms:W3CDTF">2026-05-15T06:40:17Z</dcterms:modified>
</cp:coreProperties>
</file>