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>SECURITIES AND EXCHANGE COMMISSION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Washington, DC 20549</w:t>
      </w:r>
    </w:p>
    <w:p>
      <w:pPr>
        <w:pStyle w:val="TextBody"/>
        <w:bidi w:val="0"/>
        <w:spacing w:lineRule="auto" w:line="288" w:before="400" w:after="283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>SCHEDULE 14A</w:t>
      </w:r>
    </w:p>
    <w:p>
      <w:pPr>
        <w:pStyle w:val="TextBody"/>
        <w:bidi w:val="0"/>
        <w:spacing w:before="400" w:after="283"/>
        <w:jc w:val="center"/>
        <w:rPr/>
      </w:pPr>
      <w:r>
        <w:rPr/>
      </w:r>
    </w:p>
    <w:p>
      <w:pPr>
        <w:pStyle w:val="TextBody"/>
        <w:bidi w:val="0"/>
        <w:spacing w:lineRule="auto" w:line="288" w:before="400" w:after="283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Proxy Statement Pursuant to Section 14(a) of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the Securities Exchange Act of 1934 (Amendment No.   )</w:t>
      </w:r>
    </w:p>
    <w:tbl>
      <w:tblPr>
        <w:tblW w:w="62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33"/>
        <w:gridCol w:w="645"/>
        <w:gridCol w:w="647"/>
        <w:gridCol w:w="109"/>
        <w:gridCol w:w="109"/>
        <w:gridCol w:w="109"/>
        <w:gridCol w:w="1174"/>
        <w:gridCol w:w="1174"/>
        <w:gridCol w:w="1177"/>
        <w:gridCol w:w="109"/>
        <w:gridCol w:w="109"/>
        <w:gridCol w:w="154"/>
      </w:tblGrid>
      <w:tr>
        <w:trPr/>
        <w:tc>
          <w:tcPr>
            <w:tcW w:w="7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the Registrant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5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Filed by a Party other than the Registrant  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</w:tbl>
    <w:tbl>
      <w:tblPr>
        <w:tblW w:w="79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3"/>
        <w:gridCol w:w="363"/>
        <w:gridCol w:w="363"/>
        <w:gridCol w:w="1991"/>
        <w:gridCol w:w="1991"/>
        <w:gridCol w:w="2843"/>
      </w:tblGrid>
      <w:tr>
        <w:trPr/>
        <w:tc>
          <w:tcPr>
            <w:tcW w:w="4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4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400" w:after="283"/>
        <w:jc w:val="center"/>
        <w:rPr/>
      </w:pPr>
      <w:r>
        <w:rPr/>
      </w:r>
    </w:p>
    <w:tbl>
      <w:tblPr>
        <w:tblW w:w="63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18"/>
        <w:gridCol w:w="1773"/>
        <w:gridCol w:w="2509"/>
      </w:tblGrid>
      <w:tr>
        <w:trPr/>
        <w:tc>
          <w:tcPr>
            <w:tcW w:w="20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Rapid Micro Biosystems, Inc.</w:t>
            </w:r>
          </w:p>
        </w:tc>
      </w:tr>
      <w:tr>
        <w:trPr/>
        <w:tc>
          <w:tcPr>
            <w:tcW w:w="6300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4"/>
              </w:rPr>
            </w:pPr>
            <w:r>
              <w:rPr>
                <w:rFonts w:ascii="Times New Roman;serif" w:hAnsi="Times New Roman;serif"/>
                <w:b/>
                <w:color w:val="000000"/>
                <w:sz w:val="24"/>
              </w:rPr>
              <w:t>(Name of Registrant as Specified in its Charter)</w:t>
            </w:r>
          </w:p>
        </w:tc>
      </w:tr>
      <w:tr>
        <w:trPr/>
        <w:tc>
          <w:tcPr>
            <w:tcW w:w="63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0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35"/>
        <w:gridCol w:w="642"/>
        <w:gridCol w:w="642"/>
        <w:gridCol w:w="2379"/>
        <w:gridCol w:w="2366"/>
        <w:gridCol w:w="3441"/>
      </w:tblGrid>
      <w:tr>
        <w:trPr/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20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20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20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20" w:after="283"/>
        <w:jc w:val="center"/>
        <w:rPr>
          <w:shd w:fill="FFFFFF" w:val="clear"/>
        </w:rPr>
      </w:pPr>
      <w:r>
        <w:rPr>
          <w:shd w:fill="FFFFFF" w:val="clear"/>
        </w:rPr>
        <w:drawing>
          <wp:inline distT="0" distB="0" distL="0" distR="0">
            <wp:extent cx="6286500" cy="813435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20" w:after="283"/>
        <w:jc w:val="center"/>
        <w:rPr>
          <w:shd w:fill="FFFFFF" w:val="clear"/>
        </w:rPr>
      </w:pPr>
      <w:r>
        <w:rPr>
          <w:shd w:fill="FFFFFF" w:val="clear"/>
        </w:rPr>
        <w:drawing>
          <wp:inline distT="0" distB="0" distL="0" distR="0">
            <wp:extent cx="6286500" cy="813435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136</Words>
  <Characters>733</Characters>
  <CharactersWithSpaces>843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